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15AB9D" w14:textId="77777777" w:rsidR="008C4610" w:rsidRPr="00B06967" w:rsidRDefault="008C4610" w:rsidP="008C4610">
      <w:pPr>
        <w:ind w:left="0" w:firstLine="0"/>
        <w:jc w:val="center"/>
        <w:rPr>
          <w:rFonts w:eastAsia="Calibri"/>
          <w:szCs w:val="24"/>
        </w:rPr>
      </w:pPr>
      <w:bookmarkStart w:id="0" w:name="_GoBack"/>
      <w:bookmarkEnd w:id="0"/>
      <w:r w:rsidRPr="00B06967">
        <w:rPr>
          <w:rFonts w:eastAsia="Calibri"/>
          <w:szCs w:val="24"/>
        </w:rPr>
        <w:t>UNITED STATES DISTRICT COURT</w:t>
      </w:r>
    </w:p>
    <w:p w14:paraId="2F658917" w14:textId="77777777" w:rsidR="008C4610" w:rsidRPr="00EC1A22" w:rsidRDefault="008C4610" w:rsidP="008C4610">
      <w:pPr>
        <w:jc w:val="center"/>
        <w:rPr>
          <w:rFonts w:eastAsia="Calibri"/>
          <w:szCs w:val="24"/>
        </w:rPr>
      </w:pPr>
    </w:p>
    <w:p w14:paraId="65491623" w14:textId="77777777" w:rsidR="008C4610" w:rsidRPr="00EC1A22" w:rsidRDefault="008C4610" w:rsidP="008C4610">
      <w:pPr>
        <w:ind w:left="0" w:firstLine="0"/>
        <w:jc w:val="center"/>
        <w:rPr>
          <w:rFonts w:eastAsia="Times New Roman"/>
          <w:szCs w:val="24"/>
        </w:rPr>
      </w:pPr>
      <w:r w:rsidRPr="00EC1A22">
        <w:rPr>
          <w:rFonts w:eastAsia="Calibri"/>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8C4610" w:rsidRPr="00B06967" w14:paraId="5B9DFCDF" w14:textId="77777777" w:rsidTr="00A326DD">
        <w:tc>
          <w:tcPr>
            <w:tcW w:w="4788" w:type="dxa"/>
          </w:tcPr>
          <w:p w14:paraId="3FE3344D" w14:textId="77777777" w:rsidR="008C4610" w:rsidRPr="00B06967" w:rsidRDefault="008C4610" w:rsidP="00A326DD">
            <w:pPr>
              <w:rPr>
                <w:rFonts w:eastAsia="Calibri"/>
              </w:rPr>
            </w:pPr>
          </w:p>
        </w:tc>
        <w:tc>
          <w:tcPr>
            <w:tcW w:w="4788" w:type="dxa"/>
          </w:tcPr>
          <w:p w14:paraId="0A5A43EB" w14:textId="77777777" w:rsidR="008C4610" w:rsidRPr="00B06967" w:rsidRDefault="008C4610" w:rsidP="00A326DD">
            <w:pPr>
              <w:rPr>
                <w:rFonts w:eastAsia="Calibri"/>
              </w:rPr>
            </w:pPr>
          </w:p>
          <w:p w14:paraId="43EC4EF6" w14:textId="77777777" w:rsidR="008C4610" w:rsidRPr="00B06967" w:rsidRDefault="008C4610" w:rsidP="00A326DD">
            <w:pPr>
              <w:jc w:val="right"/>
              <w:rPr>
                <w:rFonts w:eastAsia="Calibri"/>
              </w:rPr>
            </w:pPr>
          </w:p>
        </w:tc>
      </w:tr>
      <w:tr w:rsidR="008C4610" w:rsidRPr="00B06967" w14:paraId="5A0461A2" w14:textId="77777777" w:rsidTr="00A326DD">
        <w:tc>
          <w:tcPr>
            <w:tcW w:w="4788" w:type="dxa"/>
          </w:tcPr>
          <w:p w14:paraId="56FAD81E" w14:textId="77777777" w:rsidR="008C4610" w:rsidRPr="00B06967" w:rsidRDefault="008C4610" w:rsidP="00A326DD">
            <w:pPr>
              <w:rPr>
                <w:rFonts w:eastAsia="Calibri"/>
              </w:rPr>
            </w:pPr>
          </w:p>
          <w:p w14:paraId="7041E052" w14:textId="77777777" w:rsidR="008C4610" w:rsidRPr="00B06967" w:rsidRDefault="008C4610" w:rsidP="00A326DD">
            <w:pPr>
              <w:rPr>
                <w:rFonts w:eastAsia="Calibri"/>
              </w:rPr>
            </w:pPr>
            <w:r>
              <w:rPr>
                <w:rFonts w:eastAsia="Calibri"/>
              </w:rPr>
              <w:t>OGS TV, INC.</w:t>
            </w:r>
          </w:p>
          <w:p w14:paraId="2A47996F" w14:textId="77777777" w:rsidR="008C4610" w:rsidRPr="00B06967" w:rsidRDefault="008C4610" w:rsidP="00A326DD">
            <w:pPr>
              <w:rPr>
                <w:rFonts w:eastAsia="Calibri"/>
              </w:rPr>
            </w:pPr>
          </w:p>
          <w:p w14:paraId="17D603AE" w14:textId="77777777" w:rsidR="008C4610" w:rsidRPr="00B06967" w:rsidRDefault="008C4610" w:rsidP="00A326DD">
            <w:pPr>
              <w:ind w:left="2880"/>
              <w:rPr>
                <w:rFonts w:eastAsia="Calibri"/>
              </w:rPr>
            </w:pPr>
            <w:r>
              <w:rPr>
                <w:rFonts w:eastAsia="Calibri"/>
              </w:rPr>
              <w:t>Plaintiff</w:t>
            </w:r>
            <w:r w:rsidRPr="00B06967">
              <w:rPr>
                <w:rFonts w:eastAsia="Calibri"/>
              </w:rPr>
              <w:t>,</w:t>
            </w:r>
          </w:p>
          <w:p w14:paraId="0857E136" w14:textId="77777777" w:rsidR="008C4610" w:rsidRPr="00B06967" w:rsidRDefault="008C4610" w:rsidP="00A326DD">
            <w:pPr>
              <w:rPr>
                <w:rFonts w:eastAsia="Calibri"/>
              </w:rPr>
            </w:pPr>
          </w:p>
          <w:p w14:paraId="2E679488" w14:textId="77777777" w:rsidR="008C4610" w:rsidRPr="00B06967" w:rsidRDefault="008C4610" w:rsidP="00A326DD">
            <w:pPr>
              <w:rPr>
                <w:rFonts w:eastAsia="Calibri"/>
              </w:rPr>
            </w:pPr>
            <w:proofErr w:type="gramStart"/>
            <w:r w:rsidRPr="00B06967">
              <w:rPr>
                <w:rFonts w:eastAsia="Calibri"/>
              </w:rPr>
              <w:t>vs</w:t>
            </w:r>
            <w:proofErr w:type="gramEnd"/>
            <w:r w:rsidRPr="00B06967">
              <w:rPr>
                <w:rFonts w:eastAsia="Calibri"/>
              </w:rPr>
              <w:t>.</w:t>
            </w:r>
          </w:p>
          <w:p w14:paraId="56B9FCEC" w14:textId="77777777" w:rsidR="008C4610" w:rsidRPr="00B06967" w:rsidRDefault="008C4610" w:rsidP="00A326DD">
            <w:pPr>
              <w:rPr>
                <w:rFonts w:eastAsia="Calibri"/>
              </w:rPr>
            </w:pPr>
          </w:p>
          <w:p w14:paraId="3828C992" w14:textId="77777777" w:rsidR="008C4610" w:rsidRPr="00B06967" w:rsidRDefault="008C4610" w:rsidP="00A326DD">
            <w:pPr>
              <w:rPr>
                <w:rFonts w:eastAsia="Calibri"/>
              </w:rPr>
            </w:pPr>
            <w:r>
              <w:rPr>
                <w:rFonts w:eastAsia="Calibri"/>
              </w:rPr>
              <w:t xml:space="preserve">Elizabeth Lime, and </w:t>
            </w:r>
            <w:proofErr w:type="spellStart"/>
            <w:r>
              <w:rPr>
                <w:rFonts w:eastAsia="Calibri"/>
              </w:rPr>
              <w:t>TinyTV</w:t>
            </w:r>
            <w:proofErr w:type="spellEnd"/>
            <w:r>
              <w:rPr>
                <w:rFonts w:eastAsia="Calibri"/>
              </w:rPr>
              <w:t>, Inc.</w:t>
            </w:r>
          </w:p>
          <w:p w14:paraId="0FC9A5BB" w14:textId="77777777" w:rsidR="008C4610" w:rsidRPr="00B06967" w:rsidRDefault="008C4610" w:rsidP="00A326DD">
            <w:pPr>
              <w:rPr>
                <w:rFonts w:eastAsia="Calibri"/>
              </w:rPr>
            </w:pPr>
          </w:p>
          <w:p w14:paraId="45E7B98B" w14:textId="77777777" w:rsidR="008C4610" w:rsidRPr="00B06967" w:rsidRDefault="008C4610" w:rsidP="00A326DD">
            <w:pPr>
              <w:ind w:left="2880"/>
              <w:rPr>
                <w:rFonts w:eastAsia="Calibri"/>
              </w:rPr>
            </w:pPr>
            <w:r w:rsidRPr="00B06967">
              <w:rPr>
                <w:rFonts w:eastAsia="Calibri"/>
              </w:rPr>
              <w:t>Defendants.</w:t>
            </w:r>
          </w:p>
          <w:p w14:paraId="65C5F5B1" w14:textId="77777777" w:rsidR="008C4610" w:rsidRPr="00B06967" w:rsidRDefault="008C4610" w:rsidP="00A326DD">
            <w:pPr>
              <w:rPr>
                <w:rFonts w:eastAsia="Calibri"/>
              </w:rPr>
            </w:pPr>
          </w:p>
        </w:tc>
        <w:tc>
          <w:tcPr>
            <w:tcW w:w="4788" w:type="dxa"/>
            <w:vAlign w:val="center"/>
          </w:tcPr>
          <w:p w14:paraId="766F6C3A" w14:textId="77777777" w:rsidR="008C4610" w:rsidRDefault="008C4610" w:rsidP="00A326DD">
            <w:pPr>
              <w:jc w:val="right"/>
              <w:rPr>
                <w:rFonts w:eastAsia="Calibri"/>
              </w:rPr>
            </w:pPr>
          </w:p>
          <w:p w14:paraId="2B97E09C" w14:textId="77777777" w:rsidR="008C4610" w:rsidRPr="00B06967" w:rsidRDefault="008C4610" w:rsidP="00A326DD">
            <w:pPr>
              <w:jc w:val="right"/>
              <w:rPr>
                <w:rFonts w:eastAsia="Calibri"/>
              </w:rPr>
            </w:pPr>
            <w:r>
              <w:rPr>
                <w:rFonts w:eastAsia="Calibri"/>
              </w:rPr>
              <w:t>Court File No. 27-CV-12</w:t>
            </w:r>
            <w:r w:rsidRPr="00B06967">
              <w:rPr>
                <w:rFonts w:eastAsia="Calibri"/>
              </w:rPr>
              <w:t>-1234</w:t>
            </w:r>
          </w:p>
          <w:p w14:paraId="7C909E1B" w14:textId="77777777" w:rsidR="008C4610" w:rsidRDefault="008C4610" w:rsidP="00A326DD">
            <w:pPr>
              <w:jc w:val="right"/>
              <w:rPr>
                <w:rFonts w:eastAsia="Calibri"/>
              </w:rPr>
            </w:pPr>
          </w:p>
          <w:p w14:paraId="530E5F0E" w14:textId="77777777" w:rsidR="008C4610" w:rsidRPr="00B06967" w:rsidRDefault="008C4610" w:rsidP="00A326DD">
            <w:pPr>
              <w:jc w:val="right"/>
              <w:rPr>
                <w:rFonts w:eastAsia="Calibri"/>
              </w:rPr>
            </w:pPr>
          </w:p>
          <w:p w14:paraId="69616FA1" w14:textId="77777777" w:rsidR="008C4610" w:rsidRPr="00B06967" w:rsidRDefault="008C4610" w:rsidP="00A326DD">
            <w:pPr>
              <w:jc w:val="right"/>
              <w:rPr>
                <w:rFonts w:eastAsia="Calibri"/>
                <w:b/>
              </w:rPr>
            </w:pPr>
            <w:r>
              <w:rPr>
                <w:rFonts w:eastAsia="Calibri"/>
                <w:b/>
              </w:rPr>
              <w:t xml:space="preserve">PLAINTIFF’S MEMORANDUM IN OPPOSITION TO DEFENDANTS’ MOTION TO DISMISS </w:t>
            </w:r>
          </w:p>
        </w:tc>
      </w:tr>
    </w:tbl>
    <w:p w14:paraId="75225E23" w14:textId="77777777" w:rsidR="008C4610" w:rsidRDefault="008C4610" w:rsidP="008C4610"/>
    <w:p w14:paraId="42826032" w14:textId="77777777" w:rsidR="008C4610" w:rsidRPr="001E6B7E" w:rsidRDefault="008C4610" w:rsidP="008C4610">
      <w:pPr>
        <w:pStyle w:val="Heading1"/>
        <w:spacing w:line="480" w:lineRule="auto"/>
        <w:jc w:val="center"/>
        <w:rPr>
          <w:u w:val="single"/>
        </w:rPr>
      </w:pPr>
      <w:r w:rsidRPr="001E6B7E">
        <w:rPr>
          <w:u w:val="single"/>
        </w:rPr>
        <w:t>INTRODUCTION</w:t>
      </w:r>
    </w:p>
    <w:p w14:paraId="1EB14531" w14:textId="77777777" w:rsidR="008C4610" w:rsidRDefault="008C4610" w:rsidP="008C4610">
      <w:pPr>
        <w:spacing w:line="480" w:lineRule="auto"/>
        <w:ind w:left="0" w:firstLine="720"/>
      </w:pPr>
      <w:r>
        <w:t xml:space="preserve">To create a work made for hire </w:t>
      </w:r>
      <w:proofErr w:type="gramStart"/>
      <w:r>
        <w:t>under</w:t>
      </w:r>
      <w:proofErr w:type="gramEnd"/>
      <w:r>
        <w:t xml:space="preserve"> 17 U.S.C. § 101(2), the written agreement need not be signed by both parties preceding creation of the work.  On March 27, 2010, Plaintiff OGS TV, Inc. and Defendant Elizabeth Lime entered into a work made for hire agreement through which Plaintiff became the author and owner of the copyright to the screenplay “Anticipatory Repudiation.”  On September 7, 2010, Defendants Lime and </w:t>
      </w:r>
      <w:proofErr w:type="spellStart"/>
      <w:r>
        <w:t>TinyTV</w:t>
      </w:r>
      <w:proofErr w:type="spellEnd"/>
      <w:r>
        <w:t>, Inc. produced and performed the screenplay for the sole purpose of profit, without the consent of Plaintiff, and in violation of Plaintiff’s copyright.  The plain language of 17 U.S.C. § 101(2) does not require that a written agreement be signed before a work is created, and the legislative history and the case law support the conclusion that a writing memorializing a previous oral agreement fulfills the requirements of the statute, and provides certainty and predictability to the parties as to who is the rightful owner of the copyright to a work.  Plaintiff therefore requests the Court to deny Defendants’ Motion to Dismiss on the grounds that Plaintiff has pled sufficient facts to state a claim of infringement of copyright for which relief can be granted.</w:t>
      </w:r>
    </w:p>
    <w:p w14:paraId="11B83947" w14:textId="77777777" w:rsidR="008C4610" w:rsidRDefault="008C4610" w:rsidP="008C4610">
      <w:pPr>
        <w:spacing w:line="480" w:lineRule="auto"/>
        <w:ind w:left="0" w:firstLine="0"/>
      </w:pPr>
    </w:p>
    <w:p w14:paraId="637A0F6A" w14:textId="77777777" w:rsidR="008C4610" w:rsidRPr="00576E64" w:rsidRDefault="008C4610" w:rsidP="008C4610">
      <w:pPr>
        <w:pStyle w:val="Heading3"/>
      </w:pPr>
      <w:r>
        <w:lastRenderedPageBreak/>
        <w:t>FACTUAL BACKGROUND</w:t>
      </w:r>
    </w:p>
    <w:p w14:paraId="5CAE3F4E" w14:textId="77777777" w:rsidR="008C4610" w:rsidRDefault="008C4610" w:rsidP="008C4610">
      <w:pPr>
        <w:spacing w:line="480" w:lineRule="auto"/>
        <w:ind w:left="0" w:firstLine="720"/>
      </w:pPr>
      <w:r>
        <w:t xml:space="preserve">Plaintiff OGS TV, Inc. created, produced, and aired the original television series </w:t>
      </w:r>
      <w:r>
        <w:rPr>
          <w:i/>
        </w:rPr>
        <w:t>Lawless Love</w:t>
      </w:r>
      <w:r>
        <w:t xml:space="preserve">, a romantic </w:t>
      </w:r>
      <w:proofErr w:type="spellStart"/>
      <w:r>
        <w:t>dramedy</w:t>
      </w:r>
      <w:proofErr w:type="spellEnd"/>
      <w:r>
        <w:t xml:space="preserve"> chronicling the lives of young attorneys (Pl.’s </w:t>
      </w:r>
      <w:proofErr w:type="spellStart"/>
      <w:r>
        <w:t>Compl</w:t>
      </w:r>
      <w:proofErr w:type="spellEnd"/>
      <w:r>
        <w:t xml:space="preserve">. ¶ 5.)  Prior to April 2, 2010, the eight talented writers at OGS TV had written screenplays for 39 episodes of </w:t>
      </w:r>
      <w:r>
        <w:rPr>
          <w:i/>
        </w:rPr>
        <w:t>Lawless Love.</w:t>
      </w:r>
      <w:r>
        <w:t xml:space="preserve"> (</w:t>
      </w:r>
      <w:r>
        <w:rPr>
          <w:i/>
        </w:rPr>
        <w:t>Id</w:t>
      </w:r>
      <w:r>
        <w:t xml:space="preserve">. ¶ 5.)  Seeking a unique approach to the premise and characters of the show, OGS TV contacted Defendant Lime, a well-known and experienced television writer, to commission a new screenplay for one episode of </w:t>
      </w:r>
      <w:r w:rsidRPr="00523A55">
        <w:rPr>
          <w:i/>
        </w:rPr>
        <w:t>Lawless Love</w:t>
      </w:r>
      <w:r>
        <w:t>. (</w:t>
      </w:r>
      <w:r>
        <w:rPr>
          <w:i/>
        </w:rPr>
        <w:t>Id</w:t>
      </w:r>
      <w:r>
        <w:t xml:space="preserve">. ¶¶ 9, 11, 14.)  At the meeting between Defendant Lime and OGS TV, the parties agreed that Lime would prepare a screenplay for </w:t>
      </w:r>
      <w:r>
        <w:rPr>
          <w:i/>
        </w:rPr>
        <w:t>Lawless Love</w:t>
      </w:r>
      <w:r>
        <w:t xml:space="preserve"> by April 1, 2010, and that OGS would pay her $6,000 for writing it. (</w:t>
      </w:r>
      <w:r>
        <w:rPr>
          <w:i/>
        </w:rPr>
        <w:t>Id</w:t>
      </w:r>
      <w:r>
        <w:t xml:space="preserve">. ¶¶ 13, 15.)  At the meeting, Dave Nelson, the executive producer of </w:t>
      </w:r>
      <w:r>
        <w:rPr>
          <w:i/>
        </w:rPr>
        <w:t>Lawless Love</w:t>
      </w:r>
      <w:r>
        <w:t>, expressly informed Defendant Lime that her work on the screenplay was for hire and that for all intents and purposes, OGS TV would be the author of the work.  (</w:t>
      </w:r>
      <w:r>
        <w:rPr>
          <w:i/>
        </w:rPr>
        <w:t>Id</w:t>
      </w:r>
      <w:r>
        <w:t>. ¶¶ 10, 16.)  Defendant Lime indicated that she understood the agreement and was satisfied with it. (</w:t>
      </w:r>
      <w:r>
        <w:rPr>
          <w:i/>
        </w:rPr>
        <w:t>Id</w:t>
      </w:r>
      <w:r>
        <w:t>. ¶¶ 16-17.)</w:t>
      </w:r>
    </w:p>
    <w:p w14:paraId="23BF7F76" w14:textId="77777777" w:rsidR="008C4610" w:rsidRDefault="008C4610" w:rsidP="008C4610">
      <w:pPr>
        <w:spacing w:line="480" w:lineRule="auto"/>
        <w:ind w:left="0" w:firstLine="720"/>
      </w:pPr>
      <w:r>
        <w:t>Both parties were eager for Lime to get started immediately, and on April 1, she submitted a screenplay titled, “Anticipatory Repudiation.” (</w:t>
      </w:r>
      <w:r>
        <w:rPr>
          <w:i/>
        </w:rPr>
        <w:t>Id</w:t>
      </w:r>
      <w:r>
        <w:t>. ¶¶ 20-21.)  On April 2, OGS TV, in compliance with the copyright laws of the United States, secured the exclusive rights and privileges in and to the television screenplay, “Anticipatory Repudiation” and received a certificate of registration from the Register of Copyrights. (</w:t>
      </w:r>
      <w:r>
        <w:rPr>
          <w:i/>
        </w:rPr>
        <w:t>Id</w:t>
      </w:r>
      <w:r>
        <w:t>. ¶ 22.)  In addition, Lime returned to the OGS TV office, where she received her payment, and both she and Dave Nelson signed a document memorializing the parties’ previous agreement. (</w:t>
      </w:r>
      <w:r>
        <w:rPr>
          <w:i/>
        </w:rPr>
        <w:t>Id</w:t>
      </w:r>
      <w:r>
        <w:t xml:space="preserve">. ¶ 24-25.)  The document was </w:t>
      </w:r>
      <w:proofErr w:type="gramStart"/>
      <w:r>
        <w:t>labeled</w:t>
      </w:r>
      <w:proofErr w:type="gramEnd"/>
      <w:r>
        <w:t xml:space="preserve"> “Work-Made-For-Hire Agreement” and stated in its entirety: “I understand and agree that I have prepared the screenplay ‘Anticipatory Repudiation’ as a work made for hire under the </w:t>
      </w:r>
      <w:r>
        <w:lastRenderedPageBreak/>
        <w:t>federal Copyright Act of 1976.  Pursuant to this law, OGS TV is the author of this screenplay.” (</w:t>
      </w:r>
      <w:r>
        <w:rPr>
          <w:i/>
        </w:rPr>
        <w:t>Id</w:t>
      </w:r>
      <w:r>
        <w:t xml:space="preserve">. ¶ 24.)  </w:t>
      </w:r>
    </w:p>
    <w:p w14:paraId="04898978" w14:textId="77777777" w:rsidR="008C4610" w:rsidRDefault="008C4610" w:rsidP="008C4610">
      <w:pPr>
        <w:spacing w:line="480" w:lineRule="auto"/>
        <w:ind w:left="0" w:firstLine="720"/>
      </w:pPr>
      <w:r>
        <w:t xml:space="preserve">On or about August 2, 2010, Defendants Lime and </w:t>
      </w:r>
      <w:proofErr w:type="spellStart"/>
      <w:r>
        <w:t>TinyTV</w:t>
      </w:r>
      <w:proofErr w:type="spellEnd"/>
      <w:r>
        <w:t xml:space="preserve"> created a new television series, and for the pilot episode, Defendants, in disregard of the work made for hire agreement and for the sole purpose of profit, copied in substantial part from Plaintiff’s copyrighted screenplay without the knowledge or consent of Plaintiff. (</w:t>
      </w:r>
      <w:r>
        <w:rPr>
          <w:i/>
        </w:rPr>
        <w:t>Id</w:t>
      </w:r>
      <w:r>
        <w:t>. ¶¶ 27-28.)  As a result of this infringement of copyright, OGS TV has been damaged in the sum of $86,000.  (</w:t>
      </w:r>
      <w:r>
        <w:rPr>
          <w:i/>
        </w:rPr>
        <w:t>Id</w:t>
      </w:r>
      <w:r>
        <w:t xml:space="preserve">. ¶ 30.) Plaintiff requests the court deny the Defendants’ Motion to Dismiss on the grounds that Plaintiff has pled sufficient facts to show that OGS TV and Defendant Lime entered into a valid work-made-for-hire agreement, which made OGS TV the rightful owner of the copyright to the screenplay “Anticipatory Repudiation.” </w:t>
      </w:r>
    </w:p>
    <w:p w14:paraId="2B6B6B87" w14:textId="77777777" w:rsidR="008C4610" w:rsidRPr="00576E64" w:rsidRDefault="008C4610" w:rsidP="008C4610">
      <w:pPr>
        <w:pStyle w:val="Heading3"/>
      </w:pPr>
      <w:r>
        <w:t>STANDARD OF REVIEW</w:t>
      </w:r>
    </w:p>
    <w:p w14:paraId="5308F6F4" w14:textId="77777777" w:rsidR="008C4610" w:rsidRDefault="008C4610" w:rsidP="008C4610">
      <w:pPr>
        <w:spacing w:line="480" w:lineRule="auto"/>
        <w:ind w:left="0" w:firstLine="720"/>
      </w:pPr>
      <w:r>
        <w:t xml:space="preserve">The pleading standard in the Federal Rules of Civil Procedure requires “a short and plain statement of the claim showing that the pleader is entitled to relief.” </w:t>
      </w:r>
      <w:proofErr w:type="spellStart"/>
      <w:proofErr w:type="gramStart"/>
      <w:r>
        <w:t>Fed.R.Civ.P</w:t>
      </w:r>
      <w:proofErr w:type="spellEnd"/>
      <w:r>
        <w:t xml:space="preserve"> 8(a)(2).</w:t>
      </w:r>
      <w:proofErr w:type="gramEnd"/>
      <w:r>
        <w:t xml:space="preserve">  The Supreme Court has elaborated on the pleading rule, stating, “A complaint must contain sufficient factual matter, accepted as true, to state a claim of relief that is plausible on its face.” </w:t>
      </w:r>
      <w:proofErr w:type="gramStart"/>
      <w:r>
        <w:rPr>
          <w:i/>
          <w:szCs w:val="24"/>
        </w:rPr>
        <w:t xml:space="preserve">Ashcroft v. </w:t>
      </w:r>
      <w:proofErr w:type="spellStart"/>
      <w:r>
        <w:rPr>
          <w:i/>
          <w:szCs w:val="24"/>
        </w:rPr>
        <w:t>Iqbal</w:t>
      </w:r>
      <w:proofErr w:type="spellEnd"/>
      <w:r>
        <w:rPr>
          <w:szCs w:val="24"/>
        </w:rPr>
        <w:t xml:space="preserve">, 129 </w:t>
      </w:r>
      <w:proofErr w:type="spellStart"/>
      <w:r>
        <w:rPr>
          <w:szCs w:val="24"/>
        </w:rPr>
        <w:t>S.Ct</w:t>
      </w:r>
      <w:proofErr w:type="spellEnd"/>
      <w:r>
        <w:rPr>
          <w:szCs w:val="24"/>
        </w:rPr>
        <w:t>. 1937, 1949 (2009).</w:t>
      </w:r>
      <w:proofErr w:type="gramEnd"/>
      <w:r>
        <w:rPr>
          <w:szCs w:val="24"/>
        </w:rPr>
        <w:t xml:space="preserve">  </w:t>
      </w:r>
      <w:r>
        <w:t xml:space="preserve">In ruling on a motion to dismiss, the Court must accept as true all of the complaints’ factual allegations and view them in a light most favorable to the plaintiff.  </w:t>
      </w:r>
      <w:r>
        <w:rPr>
          <w:i/>
        </w:rPr>
        <w:t>Id</w:t>
      </w:r>
      <w:r>
        <w:t xml:space="preserve">.  Plaintiff OGS TV has pled sufficient facts to show that the parties entered into a valid work-made-for-hire agreement under 17 U.S.C. § 101(2), making Plaintiff the author of the screenplay under 17 U.S.C. § 201(b), and giving Plaintiff the exclusive rights to the screenplay under 17 U.S.C. § 106.  Therefore, Defendants’ use of the screenplay constitutes an infringement of Plaintiff’s copyright </w:t>
      </w:r>
      <w:proofErr w:type="gramStart"/>
      <w:r>
        <w:t>under</w:t>
      </w:r>
      <w:proofErr w:type="gramEnd"/>
      <w:r>
        <w:t xml:space="preserve"> 17 U.S.C. § 501, for which Plaintiff is entitled to damages. </w:t>
      </w:r>
    </w:p>
    <w:p w14:paraId="19F6D179" w14:textId="77777777" w:rsidR="008C4610" w:rsidRDefault="008C4610" w:rsidP="008C4610">
      <w:pPr>
        <w:pStyle w:val="BodyText"/>
        <w:jc w:val="center"/>
        <w:rPr>
          <w:u w:val="single"/>
        </w:rPr>
      </w:pPr>
      <w:r w:rsidRPr="004B36BA">
        <w:rPr>
          <w:u w:val="single"/>
        </w:rPr>
        <w:lastRenderedPageBreak/>
        <w:t>ARGUMENT</w:t>
      </w:r>
    </w:p>
    <w:p w14:paraId="2CCED8D6" w14:textId="77777777" w:rsidR="008C4610" w:rsidRPr="004B36BA" w:rsidRDefault="008C4610" w:rsidP="008C4610">
      <w:pPr>
        <w:pStyle w:val="BodyText"/>
        <w:jc w:val="center"/>
        <w:rPr>
          <w:u w:val="single"/>
        </w:rPr>
      </w:pPr>
    </w:p>
    <w:p w14:paraId="16616755" w14:textId="77777777" w:rsidR="008C4610" w:rsidRDefault="008C4610" w:rsidP="008C4610">
      <w:pPr>
        <w:pStyle w:val="BodyText"/>
      </w:pPr>
      <w:r w:rsidRPr="002514D5">
        <w:t>UNDER 17 U</w:t>
      </w:r>
      <w:r>
        <w:t>.</w:t>
      </w:r>
      <w:r w:rsidRPr="002514D5">
        <w:t>S</w:t>
      </w:r>
      <w:r>
        <w:t>.</w:t>
      </w:r>
      <w:r w:rsidRPr="002514D5">
        <w:t>C</w:t>
      </w:r>
      <w:r>
        <w:t xml:space="preserve">. </w:t>
      </w:r>
      <w:r w:rsidRPr="002514D5">
        <w:t>§ 101</w:t>
      </w:r>
      <w:r>
        <w:t>(2)</w:t>
      </w:r>
      <w:r w:rsidRPr="002514D5">
        <w:t xml:space="preserve">, THE WRITTEN INSTRUMENT </w:t>
      </w:r>
      <w:r>
        <w:t>NEED NOT BE</w:t>
      </w:r>
      <w:r w:rsidRPr="002514D5">
        <w:t xml:space="preserve"> SIGNED PRECEEDING CREATION OF THE WORK</w:t>
      </w:r>
      <w:r>
        <w:t xml:space="preserve"> AS LONG AS THERE IS A PRIOR EXPRESS ORAL AGREMENT INDICATING THE WORK BEING COMMISSIONED IS “MADE FOR HIRE.”</w:t>
      </w:r>
    </w:p>
    <w:p w14:paraId="31C5D656" w14:textId="77777777" w:rsidR="008C4610" w:rsidRDefault="008C4610" w:rsidP="008C4610">
      <w:pPr>
        <w:pStyle w:val="BodyText"/>
      </w:pPr>
    </w:p>
    <w:p w14:paraId="0DBC6C66" w14:textId="77777777" w:rsidR="008C4610" w:rsidRDefault="008C4610" w:rsidP="008C4610">
      <w:pPr>
        <w:spacing w:line="480" w:lineRule="auto"/>
        <w:ind w:left="0" w:firstLine="720"/>
      </w:pPr>
      <w:r>
        <w:t xml:space="preserve">The revised Copyright Act was passed in 1976 in order to better promote predictability and certainty of copyright ownership. </w:t>
      </w:r>
      <w:proofErr w:type="spellStart"/>
      <w:proofErr w:type="gramStart"/>
      <w:r>
        <w:rPr>
          <w:i/>
        </w:rPr>
        <w:t>Cmty</w:t>
      </w:r>
      <w:proofErr w:type="spellEnd"/>
      <w:r>
        <w:rPr>
          <w:i/>
        </w:rPr>
        <w:t xml:space="preserve"> for Creative Non-Violence v. Reid</w:t>
      </w:r>
      <w:r>
        <w:t>, 490 U.S. 730, 749 (1989) (“</w:t>
      </w:r>
      <w:r w:rsidRPr="00914039">
        <w:t>CCNV</w:t>
      </w:r>
      <w:r>
        <w:t>”).</w:t>
      </w:r>
      <w:proofErr w:type="gramEnd"/>
      <w:r>
        <w:t xml:space="preserve">  In accordance with this goal, the basic rule of the Act is simply that copyright ownership “vests initially in the author or authors of the work.” </w:t>
      </w:r>
      <w:proofErr w:type="gramStart"/>
      <w:r>
        <w:rPr>
          <w:i/>
        </w:rPr>
        <w:t>Id</w:t>
      </w:r>
      <w:r>
        <w:t>. at 737.</w:t>
      </w:r>
      <w:proofErr w:type="gramEnd"/>
      <w:r>
        <w:t xml:space="preserve">  The important exception to this rule lies in the works made for hire provision, which </w:t>
      </w:r>
      <w:proofErr w:type="gramStart"/>
      <w:r>
        <w:t>indicates that</w:t>
      </w:r>
      <w:proofErr w:type="gramEnd"/>
      <w:r>
        <w:t xml:space="preserve"> “in the case of a works made for hire, the employer or other person for whom the work was prepared is considered the author for purposes of this title, and…owns all of the rights comprised in the copyright.”  </w:t>
      </w:r>
      <w:proofErr w:type="gramStart"/>
      <w:r>
        <w:t>17 U.S.C. § 201(b).</w:t>
      </w:r>
      <w:proofErr w:type="gramEnd"/>
      <w:r>
        <w:t xml:space="preserve">  Consequently, in this case, if the screenplay “Anticipatory Repudiation” is found to be a work made for hire, Plaintiff OGS TV must be found to be the author under § 201(b) and the owner of the exclusive rights comprised in the copyright </w:t>
      </w:r>
      <w:proofErr w:type="gramStart"/>
      <w:r>
        <w:t>under</w:t>
      </w:r>
      <w:proofErr w:type="gramEnd"/>
      <w:r>
        <w:t xml:space="preserve"> 17 U.S.C. § 106.  The definition of a works made for hire in 17 U.S.C. § 101 provides:</w:t>
      </w:r>
    </w:p>
    <w:p w14:paraId="10973FA7" w14:textId="77777777" w:rsidR="008C4610" w:rsidRDefault="008C4610" w:rsidP="008C4610">
      <w:pPr>
        <w:pStyle w:val="BodyText"/>
        <w:spacing w:line="480" w:lineRule="auto"/>
        <w:ind w:left="720" w:right="720"/>
        <w:rPr>
          <w:b w:val="0"/>
        </w:rPr>
      </w:pPr>
      <w:r>
        <w:rPr>
          <w:b w:val="0"/>
        </w:rPr>
        <w:t>A “work made for hire” is –</w:t>
      </w:r>
    </w:p>
    <w:p w14:paraId="15719ECC" w14:textId="77777777" w:rsidR="008C4610" w:rsidRDefault="008C4610" w:rsidP="008C4610">
      <w:pPr>
        <w:pStyle w:val="BodyText"/>
        <w:numPr>
          <w:ilvl w:val="0"/>
          <w:numId w:val="1"/>
        </w:numPr>
        <w:ind w:left="1800" w:right="720"/>
        <w:rPr>
          <w:b w:val="0"/>
        </w:rPr>
      </w:pPr>
      <w:r>
        <w:rPr>
          <w:b w:val="0"/>
        </w:rPr>
        <w:t>A work prepared by an employee within the scope of his or her employment; or</w:t>
      </w:r>
    </w:p>
    <w:p w14:paraId="42E5A345" w14:textId="77777777" w:rsidR="008C4610" w:rsidRPr="008F121C" w:rsidRDefault="008C4610" w:rsidP="008C4610">
      <w:pPr>
        <w:pStyle w:val="BodyText"/>
        <w:tabs>
          <w:tab w:val="left" w:pos="7500"/>
        </w:tabs>
        <w:ind w:left="1800" w:right="720"/>
        <w:rPr>
          <w:b w:val="0"/>
        </w:rPr>
      </w:pPr>
      <w:r>
        <w:rPr>
          <w:b w:val="0"/>
        </w:rPr>
        <w:tab/>
      </w:r>
    </w:p>
    <w:p w14:paraId="7EB55984" w14:textId="77777777" w:rsidR="008C4610" w:rsidRDefault="008C4610" w:rsidP="008C4610">
      <w:pPr>
        <w:pStyle w:val="BodyText"/>
        <w:numPr>
          <w:ilvl w:val="0"/>
          <w:numId w:val="1"/>
        </w:numPr>
        <w:ind w:left="1800" w:right="720"/>
        <w:rPr>
          <w:b w:val="0"/>
        </w:rPr>
      </w:pPr>
      <w:r>
        <w:rPr>
          <w:b w:val="0"/>
        </w:rPr>
        <w:t xml:space="preserve">A work specially ordered or commissioned for use as a contribution to a collective work…if the parties expressly agree in a written instrument signed by them that the work shall be considered a work made for hire.  </w:t>
      </w:r>
    </w:p>
    <w:p w14:paraId="0E3819C9" w14:textId="77777777" w:rsidR="008C4610" w:rsidRDefault="008C4610" w:rsidP="008C4610">
      <w:pPr>
        <w:pStyle w:val="BodyText"/>
        <w:ind w:right="720"/>
        <w:rPr>
          <w:b w:val="0"/>
        </w:rPr>
      </w:pPr>
    </w:p>
    <w:p w14:paraId="1941FF2D" w14:textId="77777777" w:rsidR="008C4610" w:rsidRDefault="008C4610" w:rsidP="008C4610">
      <w:pPr>
        <w:pStyle w:val="BodyText"/>
        <w:spacing w:line="480" w:lineRule="auto"/>
        <w:ind w:firstLine="720"/>
        <w:rPr>
          <w:b w:val="0"/>
        </w:rPr>
      </w:pPr>
      <w:r>
        <w:rPr>
          <w:b w:val="0"/>
        </w:rPr>
        <w:t xml:space="preserve">In the case at hand, the following elements that must be met according to the statute are not in dispute.  First, the parties agree that the screenplay is a work specially commissioned by Plaintiff OGS TV from Defendant Lime, and therefore falls under 17 U.S.C. § 101(2) of the </w:t>
      </w:r>
      <w:r>
        <w:rPr>
          <w:b w:val="0"/>
        </w:rPr>
        <w:lastRenderedPageBreak/>
        <w:t xml:space="preserve">works made for hire definition.  Secondly, the parties agree that the screenplay is a contribution to a collective work.  Thirdly, the parties agree that both parties signed a document labeled “Work-Made-For-Hire Agreement” on April 6, 2010.  </w:t>
      </w:r>
    </w:p>
    <w:p w14:paraId="13E71BF2" w14:textId="77777777" w:rsidR="008C4610" w:rsidRDefault="008C4610" w:rsidP="008C4610">
      <w:pPr>
        <w:pStyle w:val="BodyText"/>
        <w:spacing w:line="480" w:lineRule="auto"/>
        <w:ind w:firstLine="720"/>
        <w:rPr>
          <w:b w:val="0"/>
        </w:rPr>
      </w:pPr>
      <w:r>
        <w:rPr>
          <w:b w:val="0"/>
        </w:rPr>
        <w:t xml:space="preserve">Therefore, in accordance with the Court’s question, the sole issue for decision in this case is whether the written instrument must be signed by both parties </w:t>
      </w:r>
      <w:r>
        <w:rPr>
          <w:b w:val="0"/>
          <w:i/>
        </w:rPr>
        <w:t>preceding</w:t>
      </w:r>
      <w:r>
        <w:rPr>
          <w:b w:val="0"/>
        </w:rPr>
        <w:t xml:space="preserve"> creation of the work in order for the work to be considered “made for hire.” The plain language of 17 U.S.C. § 101(2) does not specify when the written instrument must be signed, which indicates that a contemporaneous writing is not required for the creation of a work made for hire.  Furthermore, the legislative history and case law strongly support the conclusion that a subsequent written agreement is valid if it is made pursuant to an express oral agreement between the parties that the work is “made for hire.”  </w:t>
      </w:r>
    </w:p>
    <w:p w14:paraId="2427C80A" w14:textId="77777777" w:rsidR="008C4610" w:rsidRPr="00D63399" w:rsidRDefault="008C4610" w:rsidP="008C4610">
      <w:pPr>
        <w:pStyle w:val="BodyText"/>
        <w:numPr>
          <w:ilvl w:val="0"/>
          <w:numId w:val="2"/>
        </w:numPr>
        <w:rPr>
          <w:u w:val="single"/>
        </w:rPr>
      </w:pPr>
      <w:r w:rsidRPr="00D63399">
        <w:rPr>
          <w:u w:val="single"/>
        </w:rPr>
        <w:t>The Text of the Copyright Act Demonstrates that a Contemporaneous Written Agreement is Not Necessary to Create a Work Made for Hire.</w:t>
      </w:r>
    </w:p>
    <w:p w14:paraId="2531F928" w14:textId="77777777" w:rsidR="008C4610" w:rsidRDefault="008C4610" w:rsidP="008C4610">
      <w:pPr>
        <w:pStyle w:val="BodyText"/>
      </w:pPr>
    </w:p>
    <w:p w14:paraId="09303EFD" w14:textId="77777777" w:rsidR="008C4610" w:rsidRDefault="008C4610" w:rsidP="008C4610">
      <w:pPr>
        <w:pStyle w:val="BodyText"/>
        <w:spacing w:line="480" w:lineRule="auto"/>
        <w:ind w:firstLine="720"/>
        <w:rPr>
          <w:b w:val="0"/>
        </w:rPr>
      </w:pPr>
      <w:r>
        <w:rPr>
          <w:b w:val="0"/>
        </w:rPr>
        <w:t xml:space="preserve">In interpreting a statute, the Court must first look to the plain language of the statute. </w:t>
      </w:r>
      <w:proofErr w:type="gramStart"/>
      <w:r>
        <w:rPr>
          <w:b w:val="0"/>
          <w:i/>
        </w:rPr>
        <w:t>Massachusetts v. EPA</w:t>
      </w:r>
      <w:r w:rsidRPr="00023A96">
        <w:rPr>
          <w:b w:val="0"/>
        </w:rPr>
        <w:t>,</w:t>
      </w:r>
      <w:r>
        <w:rPr>
          <w:b w:val="0"/>
        </w:rPr>
        <w:t xml:space="preserve"> 549 U.S. 497, 528-534 (2007).</w:t>
      </w:r>
      <w:proofErr w:type="gramEnd"/>
      <w:r>
        <w:rPr>
          <w:b w:val="0"/>
        </w:rPr>
        <w:t xml:space="preserve">  A plain reading of the definition of a work made for hire in 17 U.S.C. § 101 does not indicate when the written agreement must be signed.  The doctrine of </w:t>
      </w:r>
      <w:proofErr w:type="spellStart"/>
      <w:r>
        <w:rPr>
          <w:b w:val="0"/>
          <w:i/>
        </w:rPr>
        <w:t>expressio</w:t>
      </w:r>
      <w:proofErr w:type="spellEnd"/>
      <w:r>
        <w:rPr>
          <w:b w:val="0"/>
          <w:i/>
        </w:rPr>
        <w:t xml:space="preserve"> </w:t>
      </w:r>
      <w:proofErr w:type="spellStart"/>
      <w:r>
        <w:rPr>
          <w:b w:val="0"/>
          <w:i/>
        </w:rPr>
        <w:t>u</w:t>
      </w:r>
      <w:r w:rsidRPr="005B66F7">
        <w:rPr>
          <w:b w:val="0"/>
          <w:i/>
        </w:rPr>
        <w:t>nius</w:t>
      </w:r>
      <w:proofErr w:type="spellEnd"/>
      <w:r>
        <w:rPr>
          <w:b w:val="0"/>
        </w:rPr>
        <w:t xml:space="preserve"> indicates that the expression of one thing suggests the exclusion of others.  </w:t>
      </w:r>
      <w:proofErr w:type="gramStart"/>
      <w:r>
        <w:rPr>
          <w:b w:val="0"/>
          <w:i/>
        </w:rPr>
        <w:t>Chan v. Korean Air Lines, Ltd.</w:t>
      </w:r>
      <w:r>
        <w:rPr>
          <w:b w:val="0"/>
        </w:rPr>
        <w:t>, 490 U.S. 122, 133-34 (1989).</w:t>
      </w:r>
      <w:proofErr w:type="gramEnd"/>
      <w:r>
        <w:rPr>
          <w:b w:val="0"/>
        </w:rPr>
        <w:t xml:space="preserve">  In the case of the works made for hire provision, the legislature carefully laid out several specific requirements for a work to be considered made for hire, but did not include a requirement as to when the writing must occur.  Therefore, according to this doctrine, it should be presumed that Congress intended this provision to be an exclusive list of the requirements, and to add a requirement that the writing be signed before creation of the work would constitute a “usurpation of power” on the part of the judiciary.  </w:t>
      </w:r>
      <w:proofErr w:type="gramStart"/>
      <w:r>
        <w:rPr>
          <w:b w:val="0"/>
          <w:i/>
        </w:rPr>
        <w:t>Id</w:t>
      </w:r>
      <w:r>
        <w:rPr>
          <w:b w:val="0"/>
        </w:rPr>
        <w:t>. at 135.</w:t>
      </w:r>
      <w:proofErr w:type="gramEnd"/>
      <w:r>
        <w:rPr>
          <w:b w:val="0"/>
        </w:rPr>
        <w:t xml:space="preserve">  </w:t>
      </w:r>
    </w:p>
    <w:p w14:paraId="1AED2004" w14:textId="77777777" w:rsidR="008C4610" w:rsidRDefault="008C4610" w:rsidP="008C4610">
      <w:pPr>
        <w:pStyle w:val="BodyText"/>
        <w:spacing w:line="480" w:lineRule="auto"/>
        <w:ind w:firstLine="720"/>
        <w:rPr>
          <w:b w:val="0"/>
        </w:rPr>
      </w:pPr>
      <w:r>
        <w:rPr>
          <w:b w:val="0"/>
        </w:rPr>
        <w:lastRenderedPageBreak/>
        <w:t xml:space="preserve">Defendant argues that a timing requirement is created in the provision through the use of the word “shall.” In statutory interpretation, the word “shall” is usually mandatory.  </w:t>
      </w:r>
      <w:proofErr w:type="gramStart"/>
      <w:r>
        <w:rPr>
          <w:b w:val="0"/>
          <w:i/>
        </w:rPr>
        <w:t>Mallard v. United States Dist. Ct.</w:t>
      </w:r>
      <w:r>
        <w:rPr>
          <w:b w:val="0"/>
        </w:rPr>
        <w:t>, 490 U.S. 296, 302 (1989).</w:t>
      </w:r>
      <w:proofErr w:type="gramEnd"/>
      <w:r>
        <w:rPr>
          <w:b w:val="0"/>
        </w:rPr>
        <w:t xml:space="preserve">   In the statute here, “shall” is not meant to indicate a timing requirement, but simply provides that once the parties have complied with the requirements of the statute, the work must be considered made for hire, and ownership vests with the person for whom the work is made in accordance with 17 U.S.C. § 201(b).  According to the plain language of the statute, Plaintiff has complied with the requirements of 17 U.S.C. § 101(2) to create a work made for hire – there is an express writing signed by both parties indicating that the specially commissioned work was made for hire.  Therefore, Plaintiff OGS TV is the rightful owner of the copyright to the screenplay “Anticipatory Repudiation,” and the Court should deny Defendants’ Motion to Dismiss on the grounds that Plaintiff has pled sufficient facts to state a claim of infringement of this copyright.  </w:t>
      </w:r>
    </w:p>
    <w:p w14:paraId="15F20476" w14:textId="77777777" w:rsidR="008C4610" w:rsidRPr="004F0FAE" w:rsidRDefault="008C4610" w:rsidP="008C4610">
      <w:pPr>
        <w:pStyle w:val="BodyText"/>
        <w:numPr>
          <w:ilvl w:val="0"/>
          <w:numId w:val="2"/>
        </w:numPr>
        <w:rPr>
          <w:u w:val="single"/>
        </w:rPr>
      </w:pPr>
      <w:r w:rsidRPr="004F0FAE">
        <w:rPr>
          <w:u w:val="single"/>
        </w:rPr>
        <w:t>An Examination of Legislative History Reveals that the Purpose of the Copyright Act is to Provide Predictability and Certainty to the Parties as to Who Owns the Rights to a Work.</w:t>
      </w:r>
    </w:p>
    <w:p w14:paraId="00A1CF87" w14:textId="77777777" w:rsidR="008C4610" w:rsidRPr="004F0FAE" w:rsidRDefault="008C4610" w:rsidP="008C4610">
      <w:pPr>
        <w:pStyle w:val="BodyText"/>
        <w:rPr>
          <w:b w:val="0"/>
        </w:rPr>
      </w:pPr>
    </w:p>
    <w:p w14:paraId="5AA32B68" w14:textId="77777777" w:rsidR="008C4610" w:rsidRDefault="008C4610" w:rsidP="008C4610">
      <w:pPr>
        <w:pStyle w:val="BodyText"/>
        <w:spacing w:line="480" w:lineRule="auto"/>
        <w:ind w:firstLine="720"/>
        <w:rPr>
          <w:b w:val="0"/>
        </w:rPr>
      </w:pPr>
      <w:r>
        <w:rPr>
          <w:b w:val="0"/>
        </w:rPr>
        <w:t>If the Court finds that the plain language of the statute is unclear, the Court can</w:t>
      </w:r>
      <w:r w:rsidRPr="004F0FAE">
        <w:rPr>
          <w:b w:val="0"/>
        </w:rPr>
        <w:t xml:space="preserve"> examine legislative his</w:t>
      </w:r>
      <w:r>
        <w:rPr>
          <w:b w:val="0"/>
        </w:rPr>
        <w:t xml:space="preserve">tory to determine if it reveals the Congressional intent behind </w:t>
      </w:r>
      <w:r w:rsidRPr="004F0FAE">
        <w:rPr>
          <w:b w:val="0"/>
        </w:rPr>
        <w:t xml:space="preserve">the provision.  </w:t>
      </w:r>
      <w:r w:rsidRPr="004F0FAE">
        <w:rPr>
          <w:b w:val="0"/>
          <w:i/>
        </w:rPr>
        <w:t>Safeco Ins. Co. of Am. v. Burr</w:t>
      </w:r>
      <w:r w:rsidRPr="004F0FAE">
        <w:rPr>
          <w:b w:val="0"/>
        </w:rPr>
        <w:t>, 551 U.S. 47, 65 (2007). The legislative history of the 1978 Copyright Act</w:t>
      </w:r>
      <w:r>
        <w:rPr>
          <w:b w:val="0"/>
        </w:rPr>
        <w:t>, as interpreted by the Supreme Court,</w:t>
      </w:r>
      <w:r w:rsidRPr="004F0FAE">
        <w:rPr>
          <w:b w:val="0"/>
        </w:rPr>
        <w:t xml:space="preserve"> demonstrates that Co</w:t>
      </w:r>
      <w:r>
        <w:rPr>
          <w:b w:val="0"/>
        </w:rPr>
        <w:t xml:space="preserve">ngress passed the Act primarily </w:t>
      </w:r>
      <w:r w:rsidRPr="004F0FAE">
        <w:rPr>
          <w:b w:val="0"/>
        </w:rPr>
        <w:t xml:space="preserve">for the purpose of providing predictability and certainty to parties as to who owns the right to a work. </w:t>
      </w:r>
      <w:r>
        <w:rPr>
          <w:b w:val="0"/>
        </w:rPr>
        <w:t xml:space="preserve"> </w:t>
      </w:r>
      <w:proofErr w:type="gramStart"/>
      <w:r>
        <w:rPr>
          <w:b w:val="0"/>
          <w:i/>
        </w:rPr>
        <w:t>CCNV</w:t>
      </w:r>
      <w:r>
        <w:rPr>
          <w:b w:val="0"/>
        </w:rPr>
        <w:t xml:space="preserve">, </w:t>
      </w:r>
      <w:r w:rsidRPr="004F0FAE">
        <w:rPr>
          <w:b w:val="0"/>
        </w:rPr>
        <w:t>490 U.S. at 749</w:t>
      </w:r>
      <w:r>
        <w:rPr>
          <w:b w:val="0"/>
        </w:rPr>
        <w:t xml:space="preserve">, </w:t>
      </w:r>
      <w:r w:rsidRPr="00707366">
        <w:rPr>
          <w:b w:val="0"/>
          <w:i/>
        </w:rPr>
        <w:t>citing</w:t>
      </w:r>
      <w:r>
        <w:rPr>
          <w:b w:val="0"/>
        </w:rPr>
        <w:t xml:space="preserve"> </w:t>
      </w:r>
      <w:proofErr w:type="spellStart"/>
      <w:r w:rsidRPr="004F0FAE">
        <w:rPr>
          <w:b w:val="0"/>
        </w:rPr>
        <w:t>H.R.Re</w:t>
      </w:r>
      <w:r>
        <w:rPr>
          <w:b w:val="0"/>
        </w:rPr>
        <w:t>p</w:t>
      </w:r>
      <w:proofErr w:type="spellEnd"/>
      <w:r>
        <w:rPr>
          <w:b w:val="0"/>
        </w:rPr>
        <w:t>.</w:t>
      </w:r>
      <w:proofErr w:type="gramEnd"/>
      <w:r>
        <w:rPr>
          <w:b w:val="0"/>
        </w:rPr>
        <w:t xml:space="preserve"> </w:t>
      </w:r>
      <w:proofErr w:type="gramStart"/>
      <w:r>
        <w:rPr>
          <w:b w:val="0"/>
        </w:rPr>
        <w:t>No. 94-1476, 94</w:t>
      </w:r>
      <w:r w:rsidRPr="00CF5D23">
        <w:rPr>
          <w:b w:val="0"/>
        </w:rPr>
        <w:t>th</w:t>
      </w:r>
      <w:r>
        <w:rPr>
          <w:b w:val="0"/>
        </w:rPr>
        <w:t xml:space="preserve"> Cong., 2</w:t>
      </w:r>
      <w:r w:rsidRPr="00CF5D23">
        <w:rPr>
          <w:b w:val="0"/>
        </w:rPr>
        <w:t>nd</w:t>
      </w:r>
      <w:r>
        <w:rPr>
          <w:b w:val="0"/>
        </w:rPr>
        <w:t xml:space="preserve"> Sess., 129 (1976).</w:t>
      </w:r>
      <w:proofErr w:type="gramEnd"/>
      <w:r>
        <w:rPr>
          <w:b w:val="0"/>
        </w:rPr>
        <w:t xml:space="preserve">  </w:t>
      </w:r>
      <w:r w:rsidRPr="004F0FAE">
        <w:rPr>
          <w:b w:val="0"/>
        </w:rPr>
        <w:t xml:space="preserve">Furthermore, the entire act, and the work made for hire provision in particular, was the result of a carefully balanced compromise between producers and their colleagues who rely on commissioned works, and </w:t>
      </w:r>
      <w:r>
        <w:rPr>
          <w:b w:val="0"/>
        </w:rPr>
        <w:t xml:space="preserve">the </w:t>
      </w:r>
      <w:r w:rsidRPr="004F0FAE">
        <w:rPr>
          <w:b w:val="0"/>
        </w:rPr>
        <w:t xml:space="preserve">freelance screenwriters and authors who create those works.  </w:t>
      </w:r>
      <w:proofErr w:type="gramStart"/>
      <w:r w:rsidRPr="004F0FAE">
        <w:rPr>
          <w:b w:val="0"/>
        </w:rPr>
        <w:lastRenderedPageBreak/>
        <w:t>H.R. 94-1476 at 121.</w:t>
      </w:r>
      <w:proofErr w:type="gramEnd"/>
      <w:r w:rsidRPr="004F0FAE">
        <w:rPr>
          <w:b w:val="0"/>
        </w:rPr>
        <w:t xml:space="preserve">  Therefore, because the works made for hire provision was the result of compromise, it should be construed carefully in order to fulfill the expectation of the parties and intent of the drafters to provide certainty of copyright ownership. </w:t>
      </w:r>
      <w:proofErr w:type="gramStart"/>
      <w:r w:rsidRPr="004F0FAE">
        <w:rPr>
          <w:b w:val="0"/>
          <w:i/>
        </w:rPr>
        <w:t>CCNV</w:t>
      </w:r>
      <w:r>
        <w:rPr>
          <w:b w:val="0"/>
        </w:rPr>
        <w:t>, 490 U.S.</w:t>
      </w:r>
      <w:r w:rsidRPr="004F0FAE">
        <w:rPr>
          <w:b w:val="0"/>
          <w:i/>
        </w:rPr>
        <w:t xml:space="preserve"> </w:t>
      </w:r>
      <w:r w:rsidRPr="004F0FAE">
        <w:rPr>
          <w:b w:val="0"/>
        </w:rPr>
        <w:t>at 748.</w:t>
      </w:r>
      <w:proofErr w:type="gramEnd"/>
      <w:r>
        <w:rPr>
          <w:b w:val="0"/>
        </w:rPr>
        <w:t xml:space="preserve">  </w:t>
      </w:r>
    </w:p>
    <w:p w14:paraId="40C52BEB" w14:textId="77777777" w:rsidR="008C4610" w:rsidRDefault="008C4610" w:rsidP="008C4610">
      <w:pPr>
        <w:pStyle w:val="BodyText"/>
        <w:numPr>
          <w:ilvl w:val="0"/>
          <w:numId w:val="4"/>
        </w:numPr>
      </w:pPr>
      <w:r w:rsidRPr="004F0FAE">
        <w:t>The Works Made for Hire Provisi</w:t>
      </w:r>
      <w:r>
        <w:t xml:space="preserve">on Was Drafted to Ensure the Mutual Understanding of the Parties that a Work is </w:t>
      </w:r>
      <w:proofErr w:type="gramStart"/>
      <w:r>
        <w:t>Made</w:t>
      </w:r>
      <w:proofErr w:type="gramEnd"/>
      <w:r>
        <w:t xml:space="preserve"> for Hire.</w:t>
      </w:r>
    </w:p>
    <w:p w14:paraId="6732B454" w14:textId="77777777" w:rsidR="008C4610" w:rsidRDefault="008C4610" w:rsidP="008C4610">
      <w:pPr>
        <w:pStyle w:val="BodyText"/>
        <w:ind w:firstLine="720"/>
      </w:pPr>
    </w:p>
    <w:p w14:paraId="1F3CF22E" w14:textId="77777777" w:rsidR="008C4610" w:rsidRPr="004F0FAE" w:rsidRDefault="008C4610" w:rsidP="008C4610">
      <w:pPr>
        <w:pStyle w:val="BodyText"/>
        <w:spacing w:line="480" w:lineRule="auto"/>
        <w:ind w:firstLine="720"/>
      </w:pPr>
      <w:r>
        <w:rPr>
          <w:b w:val="0"/>
        </w:rPr>
        <w:t xml:space="preserve">The provision in the Copyright Act related to works prepared on special order or commission in 17 U.S.C § 101(2) was a new category of works made for hire in the 1976 bill.  Staff of </w:t>
      </w:r>
      <w:r w:rsidRPr="009B0D8D">
        <w:rPr>
          <w:b w:val="0"/>
        </w:rPr>
        <w:t>H. Comm. on the Judiciary</w:t>
      </w:r>
      <w:r>
        <w:t>,</w:t>
      </w:r>
      <w:r w:rsidRPr="00EF5E95">
        <w:t xml:space="preserve"> </w:t>
      </w:r>
      <w:r>
        <w:rPr>
          <w:b w:val="0"/>
        </w:rPr>
        <w:t>89</w:t>
      </w:r>
      <w:r w:rsidRPr="009B0D8D">
        <w:rPr>
          <w:b w:val="0"/>
        </w:rPr>
        <w:t>th</w:t>
      </w:r>
      <w:r>
        <w:rPr>
          <w:b w:val="0"/>
        </w:rPr>
        <w:t xml:space="preserve"> </w:t>
      </w:r>
      <w:r w:rsidRPr="00204F22">
        <w:rPr>
          <w:b w:val="0"/>
        </w:rPr>
        <w:t xml:space="preserve">Cong., </w:t>
      </w:r>
      <w:r>
        <w:rPr>
          <w:b w:val="0"/>
        </w:rPr>
        <w:t>1</w:t>
      </w:r>
      <w:r w:rsidRPr="009B0D8D">
        <w:rPr>
          <w:b w:val="0"/>
        </w:rPr>
        <w:t>st</w:t>
      </w:r>
      <w:r>
        <w:rPr>
          <w:b w:val="0"/>
        </w:rPr>
        <w:t xml:space="preserve"> Sess. </w:t>
      </w:r>
      <w:r w:rsidRPr="009B0D8D">
        <w:rPr>
          <w:b w:val="0"/>
          <w:i/>
        </w:rPr>
        <w:t>Supplementary Register Report on the General Revision of the U.S. Copyright Law</w:t>
      </w:r>
      <w:r>
        <w:rPr>
          <w:b w:val="0"/>
        </w:rPr>
        <w:t xml:space="preserve"> 66</w:t>
      </w:r>
      <w:r w:rsidRPr="009B0D8D">
        <w:rPr>
          <w:b w:val="0"/>
          <w:i/>
        </w:rPr>
        <w:t xml:space="preserve"> (</w:t>
      </w:r>
      <w:r>
        <w:rPr>
          <w:b w:val="0"/>
        </w:rPr>
        <w:t>Comm. Print</w:t>
      </w:r>
      <w:r w:rsidRPr="00204F22">
        <w:rPr>
          <w:b w:val="0"/>
        </w:rPr>
        <w:t xml:space="preserve"> 1965).</w:t>
      </w:r>
      <w:r>
        <w:t xml:space="preserve"> </w:t>
      </w:r>
      <w:r>
        <w:rPr>
          <w:b w:val="0"/>
        </w:rPr>
        <w:t xml:space="preserve">Supporters of the provision included producers who hired freelance authors at their instance, direction, and risk and wanted certainty of copyright ownership. </w:t>
      </w:r>
      <w:r>
        <w:rPr>
          <w:b w:val="0"/>
          <w:i/>
        </w:rPr>
        <w:t>Id</w:t>
      </w:r>
      <w:r>
        <w:rPr>
          <w:b w:val="0"/>
        </w:rPr>
        <w:t xml:space="preserve">.  However, there were concerns among authors that the terms of the provision put them in danger of signing away their rights in contracts without realizing it. </w:t>
      </w:r>
      <w:r>
        <w:rPr>
          <w:b w:val="0"/>
          <w:i/>
        </w:rPr>
        <w:t>Id</w:t>
      </w:r>
      <w:r>
        <w:rPr>
          <w:b w:val="0"/>
        </w:rPr>
        <w:t xml:space="preserve">.  To balance these concerns, Congress created specific </w:t>
      </w:r>
      <w:r>
        <w:rPr>
          <w:b w:val="0"/>
          <w:i/>
        </w:rPr>
        <w:t>categories</w:t>
      </w:r>
      <w:r>
        <w:rPr>
          <w:b w:val="0"/>
        </w:rPr>
        <w:t xml:space="preserve"> of works that could be commissioned as works made for hire, and laid out the circumstances through which those works would become made for hire.  </w:t>
      </w:r>
      <w:r>
        <w:rPr>
          <w:b w:val="0"/>
          <w:i/>
        </w:rPr>
        <w:t>Id</w:t>
      </w:r>
      <w:r>
        <w:rPr>
          <w:b w:val="0"/>
        </w:rPr>
        <w:t xml:space="preserve">.  In order to provide certainty to both parties as to who owns the right to the work, 17 U.S.C. § 101(2) indicates that there must be a mutual understanding between the parties that the work is made for hire, and this agreement must be memorialized in a writing signed by both parties stating that work is made for hire. </w:t>
      </w:r>
    </w:p>
    <w:p w14:paraId="00238543" w14:textId="77777777" w:rsidR="008C4610" w:rsidRPr="00A84F78" w:rsidRDefault="008C4610" w:rsidP="008C4610">
      <w:pPr>
        <w:pStyle w:val="BodyText"/>
        <w:spacing w:line="480" w:lineRule="auto"/>
        <w:ind w:firstLine="720"/>
        <w:rPr>
          <w:b w:val="0"/>
        </w:rPr>
      </w:pPr>
      <w:r>
        <w:rPr>
          <w:b w:val="0"/>
        </w:rPr>
        <w:t xml:space="preserve">In this case, Plaintiff OGS TV, at its own direction and risk, specially commissioned Defendant Lime to create a screenplay for one episode of </w:t>
      </w:r>
      <w:r>
        <w:rPr>
          <w:b w:val="0"/>
          <w:i/>
        </w:rPr>
        <w:t>Lawless Love</w:t>
      </w:r>
      <w:r>
        <w:rPr>
          <w:b w:val="0"/>
        </w:rPr>
        <w:t xml:space="preserve">. To ensure their rights to the screenplay, OGS TV expressly informed Defendant Lime that her work was made for hire, and subsequently, both Defendant Lime and OGS TV signed a document stating that the work was made for hire.  After the agreement, and upon receiving a copy of Defendant’s screenplay, Plaintiff proceeded in reliance on this agreement to obtain the copyright to the work.  By using </w:t>
      </w:r>
      <w:r>
        <w:rPr>
          <w:b w:val="0"/>
        </w:rPr>
        <w:lastRenderedPageBreak/>
        <w:t>the screenplay without Plaintiff’s permission, Defendants have not only violated the legal rights of Plaintiff, but have undermined the clear intent of Congress to create certainty of ownership by acting contrary to the mutual and express agreement between the parties that the work was made for hire.  Therefore, the Court should allow Plaintiff’s claim of copyright infringement to proceed and deny Defendants’ Motion to Dismiss.</w:t>
      </w:r>
    </w:p>
    <w:p w14:paraId="6DBC17CE" w14:textId="77777777" w:rsidR="008C4610" w:rsidRDefault="008C4610" w:rsidP="008C4610">
      <w:pPr>
        <w:pStyle w:val="ListParagraph"/>
        <w:numPr>
          <w:ilvl w:val="0"/>
          <w:numId w:val="3"/>
        </w:numPr>
        <w:rPr>
          <w:b/>
        </w:rPr>
      </w:pPr>
      <w:r w:rsidRPr="00D63399">
        <w:rPr>
          <w:b/>
        </w:rPr>
        <w:t>The Statements of Bar</w:t>
      </w:r>
      <w:r>
        <w:rPr>
          <w:b/>
        </w:rPr>
        <w:t>bara Ringer Are Not Persuasive a</w:t>
      </w:r>
      <w:r w:rsidRPr="00D63399">
        <w:rPr>
          <w:b/>
        </w:rPr>
        <w:t>s to When the Written Agreement</w:t>
      </w:r>
      <w:r>
        <w:rPr>
          <w:b/>
        </w:rPr>
        <w:t xml:space="preserve"> in 17 U.S.C. § 101(2) </w:t>
      </w:r>
      <w:proofErr w:type="gramStart"/>
      <w:r>
        <w:rPr>
          <w:b/>
        </w:rPr>
        <w:t>Must</w:t>
      </w:r>
      <w:proofErr w:type="gramEnd"/>
      <w:r>
        <w:rPr>
          <w:b/>
        </w:rPr>
        <w:t xml:space="preserve"> Be</w:t>
      </w:r>
      <w:r w:rsidRPr="00D63399">
        <w:rPr>
          <w:b/>
        </w:rPr>
        <w:t xml:space="preserve"> Signed</w:t>
      </w:r>
      <w:r>
        <w:rPr>
          <w:b/>
        </w:rPr>
        <w:t>.</w:t>
      </w:r>
    </w:p>
    <w:p w14:paraId="63EA2A14" w14:textId="77777777" w:rsidR="008C4610" w:rsidRPr="00D63399" w:rsidRDefault="008C4610" w:rsidP="008C4610">
      <w:pPr>
        <w:pStyle w:val="ListParagraph"/>
        <w:ind w:left="1080" w:firstLine="0"/>
        <w:rPr>
          <w:b/>
        </w:rPr>
      </w:pPr>
    </w:p>
    <w:p w14:paraId="295D2D3D" w14:textId="77777777" w:rsidR="008C4610" w:rsidRDefault="008C4610" w:rsidP="008C4610">
      <w:pPr>
        <w:spacing w:line="480" w:lineRule="auto"/>
        <w:ind w:left="0" w:firstLine="720"/>
      </w:pPr>
      <w:r>
        <w:t>Defendants point to statements by Barbara Ringer, the Register of Copyright as an indication that Congress intended the written agreement to precede creation of the work.  Staff of H. Comm. on the Judiciary, 89</w:t>
      </w:r>
      <w:r w:rsidRPr="007D5CE9">
        <w:t>th</w:t>
      </w:r>
      <w:r>
        <w:t xml:space="preserve"> Cong., 1st Sess.,</w:t>
      </w:r>
      <w:r w:rsidRPr="00EF5E95">
        <w:t xml:space="preserve"> </w:t>
      </w:r>
      <w:r>
        <w:rPr>
          <w:i/>
        </w:rPr>
        <w:t xml:space="preserve">Copyright Law Revision Part 5: </w:t>
      </w:r>
      <w:r w:rsidRPr="00EF5E95">
        <w:rPr>
          <w:i/>
        </w:rPr>
        <w:t>1964 Revision Bill with Discussion and Comments</w:t>
      </w:r>
      <w:r>
        <w:t xml:space="preserve"> </w:t>
      </w:r>
      <w:r w:rsidRPr="00EF5E95">
        <w:t>145 (</w:t>
      </w:r>
      <w:r>
        <w:t xml:space="preserve">Comm. Print </w:t>
      </w:r>
      <w:r w:rsidRPr="00EF5E95">
        <w:t>1965).</w:t>
      </w:r>
      <w:r>
        <w:t xml:space="preserve">  The persuasiveness of this statement is questionable given the fact that Ringer is not a member of Congress, and therefore cannot speak for Congress.  Furthermore, these statements were made at a meeting in New York where the vast majority of the people present were not members of Congress. </w:t>
      </w:r>
      <w:proofErr w:type="gramStart"/>
      <w:r>
        <w:rPr>
          <w:i/>
        </w:rPr>
        <w:t>Id</w:t>
      </w:r>
      <w:r>
        <w:t>. at 33-34.</w:t>
      </w:r>
      <w:proofErr w:type="gramEnd"/>
      <w:r>
        <w:t xml:space="preserve">  Therefore, it cannot be said that Congress knew of and agreed with her interpretation of the provision.  However, even if her statements constitute a proper representation of legislative intent, they are not applicable to this case with regards to when the writing must occur.  </w:t>
      </w:r>
    </w:p>
    <w:p w14:paraId="769D4D2E" w14:textId="77777777" w:rsidR="008C4610" w:rsidRDefault="008C4610" w:rsidP="008C4610">
      <w:pPr>
        <w:spacing w:line="480" w:lineRule="auto"/>
        <w:ind w:left="0" w:firstLine="720"/>
      </w:pPr>
      <w:r>
        <w:t xml:space="preserve">In examining the context in which her statements were made, Ringer was responding to the concerns of artists and authors mentioned previously that the written agreement is not sufficient to protect their rights, and that “authors will simply sign these printed form contracts and thereby assign their rights without realizing that they’re doing so.” </w:t>
      </w:r>
      <w:proofErr w:type="gramStart"/>
      <w:r>
        <w:rPr>
          <w:i/>
        </w:rPr>
        <w:t>Id</w:t>
      </w:r>
      <w:r w:rsidRPr="00CA19F3">
        <w:t>.</w:t>
      </w:r>
      <w:r>
        <w:t xml:space="preserve"> at 145.</w:t>
      </w:r>
      <w:proofErr w:type="gramEnd"/>
      <w:r>
        <w:t xml:space="preserve"> In this case, however, there is no danger that Defendant Lime signed away her rights without realizing it. Indeed, Plaintiff OGS TV and Defendant Lime agreed </w:t>
      </w:r>
      <w:r w:rsidRPr="00AC7BF2">
        <w:rPr>
          <w:i/>
        </w:rPr>
        <w:t>both</w:t>
      </w:r>
      <w:r>
        <w:t xml:space="preserve"> orally and in writing that the screenplay, “Anticipatory Repudiation” was a work made for hire.  </w:t>
      </w:r>
    </w:p>
    <w:p w14:paraId="0BA6DD9E" w14:textId="77777777" w:rsidR="008C4610" w:rsidRPr="00007EF5" w:rsidRDefault="008C4610" w:rsidP="008C4610">
      <w:pPr>
        <w:spacing w:line="480" w:lineRule="auto"/>
        <w:ind w:left="0" w:firstLine="720"/>
      </w:pPr>
      <w:r w:rsidRPr="00BC53AC">
        <w:lastRenderedPageBreak/>
        <w:t>Furthermore, Ringer goes on to say,</w:t>
      </w:r>
      <w:r>
        <w:t xml:space="preserve"> “Moreover… at least there has to be a specific provision in the contract spelling this out.” </w:t>
      </w:r>
      <w:r>
        <w:rPr>
          <w:i/>
        </w:rPr>
        <w:t>Id</w:t>
      </w:r>
      <w:r>
        <w:t xml:space="preserve">.   This indicates that </w:t>
      </w:r>
      <w:r w:rsidRPr="00BC53AC">
        <w:t xml:space="preserve">the more important issue </w:t>
      </w:r>
      <w:r>
        <w:t xml:space="preserve">is that the contract specifically states that the work is made for hire so that authors have a full understanding of the consequences of signing. In the case at hand, given both the explicit nature of the agreement and Defendant Lime’s sophistication and experience in the business, she clearly understood that her work was made for hire.  </w:t>
      </w:r>
    </w:p>
    <w:p w14:paraId="1B90AC46" w14:textId="77777777" w:rsidR="008C4610" w:rsidRDefault="008C4610" w:rsidP="008C4610">
      <w:pPr>
        <w:pStyle w:val="BodyText"/>
        <w:spacing w:line="480" w:lineRule="auto"/>
        <w:ind w:firstLine="720"/>
        <w:rPr>
          <w:b w:val="0"/>
        </w:rPr>
      </w:pPr>
      <w:r>
        <w:rPr>
          <w:b w:val="0"/>
        </w:rPr>
        <w:t xml:space="preserve">Therefore the concerns of Ringer are at worst irrelevant in this case, and at best, her statement supports Plaintiff’s case, because Plaintiff relied on the agreement with Defendant Lime by obtaining the copyright to the work.  By using the screenplay in the face of that express agreement, Defendants have created </w:t>
      </w:r>
      <w:r w:rsidRPr="004675C9">
        <w:rPr>
          <w:b w:val="0"/>
        </w:rPr>
        <w:t>greater</w:t>
      </w:r>
      <w:r>
        <w:rPr>
          <w:b w:val="0"/>
        </w:rPr>
        <w:t xml:space="preserve"> uncertainty as to copyright ownership, thereby undermining the purpose of the Copyright Act.  The agreement between Plaintiff and Defendant Lime fulfilled the requirements of 17 U.SC. § 101(2) to create a work made for hire and fulfilled the intent of Congress to create certainty of copyright ownership. Therefore, the Court must deny Defendants’ Motion to Dismiss in order to give effect to the language and intent of the works made for hire provision. </w:t>
      </w:r>
    </w:p>
    <w:p w14:paraId="182DC3E9" w14:textId="77777777" w:rsidR="008C4610" w:rsidRDefault="008C4610" w:rsidP="008C4610">
      <w:pPr>
        <w:pStyle w:val="BodyText"/>
        <w:numPr>
          <w:ilvl w:val="0"/>
          <w:numId w:val="2"/>
        </w:numPr>
        <w:rPr>
          <w:u w:val="single"/>
        </w:rPr>
      </w:pPr>
      <w:r w:rsidRPr="004F0FAE">
        <w:rPr>
          <w:u w:val="single"/>
        </w:rPr>
        <w:t xml:space="preserve">The Case Law Supports the Conclusion that </w:t>
      </w:r>
      <w:r>
        <w:rPr>
          <w:u w:val="single"/>
        </w:rPr>
        <w:t>Plaintiff OGS TV and Defendant Lime Entered Into A Valid Work Made for Hire Agreement under 17 U.S.C. § 101(2).</w:t>
      </w:r>
    </w:p>
    <w:p w14:paraId="2EC18A40" w14:textId="77777777" w:rsidR="008C4610" w:rsidRPr="002935ED" w:rsidRDefault="008C4610" w:rsidP="008C4610">
      <w:pPr>
        <w:pStyle w:val="BodyText"/>
        <w:ind w:left="360"/>
        <w:rPr>
          <w:u w:val="single"/>
        </w:rPr>
      </w:pPr>
    </w:p>
    <w:p w14:paraId="51E19377" w14:textId="77777777" w:rsidR="008C4610" w:rsidRPr="002935ED" w:rsidRDefault="008C4610" w:rsidP="008C4610">
      <w:pPr>
        <w:pStyle w:val="BodyText"/>
        <w:spacing w:line="480" w:lineRule="auto"/>
        <w:ind w:firstLine="720"/>
        <w:rPr>
          <w:b w:val="0"/>
        </w:rPr>
      </w:pPr>
      <w:r>
        <w:rPr>
          <w:b w:val="0"/>
        </w:rPr>
        <w:t xml:space="preserve">Because this is an issue of first impression, and there is no binding Supreme Court case addressing the timing of the writing requirement, the Court should examine case law from other circuits that have interpreted the works made for hire provision.  </w:t>
      </w:r>
      <w:r w:rsidRPr="002935ED">
        <w:rPr>
          <w:b w:val="0"/>
        </w:rPr>
        <w:t xml:space="preserve">Although there appears to be a split in the circuits regarding when the written agreement </w:t>
      </w:r>
      <w:r>
        <w:rPr>
          <w:b w:val="0"/>
        </w:rPr>
        <w:t xml:space="preserve">in 17 U.S.C. § 101(2) </w:t>
      </w:r>
      <w:r w:rsidRPr="002935ED">
        <w:rPr>
          <w:b w:val="0"/>
        </w:rPr>
        <w:t>must be signed, the</w:t>
      </w:r>
      <w:r>
        <w:rPr>
          <w:b w:val="0"/>
        </w:rPr>
        <w:t xml:space="preserve"> C</w:t>
      </w:r>
      <w:r w:rsidRPr="002935ED">
        <w:rPr>
          <w:b w:val="0"/>
        </w:rPr>
        <w:t xml:space="preserve">ourt should look to the Second and Fifth Circuits for the most persuasive interpretation of the works made for hire provision.  These courts find that a subsequent written agreement is valid when it memorializes a previous oral agreement between the parties that a work is made for </w:t>
      </w:r>
      <w:r w:rsidRPr="002935ED">
        <w:rPr>
          <w:b w:val="0"/>
        </w:rPr>
        <w:lastRenderedPageBreak/>
        <w:t xml:space="preserve">hire. </w:t>
      </w:r>
      <w:r w:rsidRPr="002935ED">
        <w:rPr>
          <w:b w:val="0"/>
          <w:i/>
        </w:rPr>
        <w:t>Playboy Enterprises, Inc. v. Dumas</w:t>
      </w:r>
      <w:r w:rsidRPr="002935ED">
        <w:rPr>
          <w:b w:val="0"/>
        </w:rPr>
        <w:t xml:space="preserve"> 53 F.3d 549, 559 (1995), </w:t>
      </w:r>
      <w:r w:rsidRPr="002935ED">
        <w:rPr>
          <w:b w:val="0"/>
          <w:i/>
        </w:rPr>
        <w:t xml:space="preserve">Compaq v. </w:t>
      </w:r>
      <w:proofErr w:type="spellStart"/>
      <w:r w:rsidRPr="002935ED">
        <w:rPr>
          <w:b w:val="0"/>
          <w:i/>
        </w:rPr>
        <w:t>Ergonome</w:t>
      </w:r>
      <w:proofErr w:type="spellEnd"/>
      <w:r w:rsidRPr="002935ED">
        <w:rPr>
          <w:b w:val="0"/>
        </w:rPr>
        <w:t>, 210 F.Supp.2d 839, 841 (2001).</w:t>
      </w:r>
      <w:r>
        <w:rPr>
          <w:b w:val="0"/>
        </w:rPr>
        <w:t xml:space="preserve">  This rule gives full effect to the legislative intent to provide predictability and certainty of copyright ownership and is consistent with the language of the statute. </w:t>
      </w:r>
    </w:p>
    <w:p w14:paraId="55E30A61" w14:textId="77777777" w:rsidR="008C4610" w:rsidRPr="002935ED" w:rsidRDefault="008C4610" w:rsidP="008C4610">
      <w:pPr>
        <w:pStyle w:val="BodyText"/>
        <w:numPr>
          <w:ilvl w:val="0"/>
          <w:numId w:val="5"/>
        </w:numPr>
        <w:rPr>
          <w:b w:val="0"/>
        </w:rPr>
      </w:pPr>
      <w:r w:rsidRPr="002935ED">
        <w:t>The</w:t>
      </w:r>
      <w:r>
        <w:t xml:space="preserve"> Court Should Adopt the Rule that a Subsequent Written Agreement is Valid When it </w:t>
      </w:r>
      <w:proofErr w:type="gramStart"/>
      <w:r>
        <w:t>Memorializes</w:t>
      </w:r>
      <w:proofErr w:type="gramEnd"/>
      <w:r>
        <w:t xml:space="preserve"> a Previous Agreement that a Work is Made for Hire.</w:t>
      </w:r>
    </w:p>
    <w:p w14:paraId="02121664" w14:textId="77777777" w:rsidR="008C4610" w:rsidRPr="002935ED" w:rsidRDefault="008C4610" w:rsidP="008C4610">
      <w:pPr>
        <w:pStyle w:val="BodyText"/>
        <w:ind w:left="1080"/>
        <w:rPr>
          <w:b w:val="0"/>
        </w:rPr>
      </w:pPr>
    </w:p>
    <w:p w14:paraId="0AF1A411" w14:textId="77777777" w:rsidR="008C4610" w:rsidRPr="00AD7049" w:rsidRDefault="008C4610" w:rsidP="008C4610">
      <w:pPr>
        <w:pStyle w:val="BodyText"/>
        <w:spacing w:line="480" w:lineRule="auto"/>
        <w:ind w:firstLine="720"/>
        <w:rPr>
          <w:b w:val="0"/>
        </w:rPr>
      </w:pPr>
      <w:r w:rsidRPr="002935ED">
        <w:rPr>
          <w:b w:val="0"/>
        </w:rPr>
        <w:t xml:space="preserve">The Second Circuit Court in </w:t>
      </w:r>
      <w:r w:rsidRPr="002935ED">
        <w:rPr>
          <w:b w:val="0"/>
          <w:i/>
        </w:rPr>
        <w:t>Playboy Enterprises, Inc. v. Dumas</w:t>
      </w:r>
      <w:r w:rsidRPr="002935ED">
        <w:rPr>
          <w:b w:val="0"/>
        </w:rPr>
        <w:t xml:space="preserve"> directly supports the claim that when the parties have agreed before the creation of a work that the work is to be made for hire, a subsequent written agreement suffices to fulfill the requirements of the statute.</w:t>
      </w:r>
      <w:r>
        <w:rPr>
          <w:b w:val="0"/>
        </w:rPr>
        <w:t xml:space="preserve">  </w:t>
      </w:r>
      <w:proofErr w:type="gramStart"/>
      <w:r>
        <w:rPr>
          <w:b w:val="0"/>
        </w:rPr>
        <w:t>53 F.3d at 559.</w:t>
      </w:r>
      <w:proofErr w:type="gramEnd"/>
      <w:r>
        <w:rPr>
          <w:b w:val="0"/>
        </w:rPr>
        <w:t xml:space="preserve">  In </w:t>
      </w:r>
      <w:r>
        <w:rPr>
          <w:b w:val="0"/>
          <w:i/>
        </w:rPr>
        <w:t>Playboy</w:t>
      </w:r>
      <w:r>
        <w:rPr>
          <w:b w:val="0"/>
        </w:rPr>
        <w:t xml:space="preserve">, freelance artist Patrick Nagel produced artwork for </w:t>
      </w:r>
      <w:r>
        <w:rPr>
          <w:b w:val="0"/>
          <w:i/>
        </w:rPr>
        <w:t>Playboy</w:t>
      </w:r>
      <w:r>
        <w:rPr>
          <w:b w:val="0"/>
        </w:rPr>
        <w:t xml:space="preserve"> Magazine. </w:t>
      </w:r>
      <w:proofErr w:type="gramStart"/>
      <w:r>
        <w:rPr>
          <w:b w:val="0"/>
          <w:i/>
        </w:rPr>
        <w:t>Id</w:t>
      </w:r>
      <w:r>
        <w:rPr>
          <w:b w:val="0"/>
        </w:rPr>
        <w:t>. at 552.</w:t>
      </w:r>
      <w:proofErr w:type="gramEnd"/>
      <w:r>
        <w:rPr>
          <w:b w:val="0"/>
        </w:rPr>
        <w:t xml:space="preserve">  </w:t>
      </w:r>
      <w:r>
        <w:rPr>
          <w:b w:val="0"/>
          <w:i/>
        </w:rPr>
        <w:t>Playboy</w:t>
      </w:r>
      <w:r>
        <w:rPr>
          <w:b w:val="0"/>
        </w:rPr>
        <w:t xml:space="preserve"> issued checks to Nagel for his work, which had a printed statement on them stating that by endorsing the checks, Nagel agreed that the works were made for hire, and that </w:t>
      </w:r>
      <w:r w:rsidRPr="001A7C1E">
        <w:rPr>
          <w:b w:val="0"/>
          <w:i/>
        </w:rPr>
        <w:t>Playboy</w:t>
      </w:r>
      <w:r>
        <w:rPr>
          <w:b w:val="0"/>
        </w:rPr>
        <w:t xml:space="preserve"> owned the copyrights.  </w:t>
      </w:r>
      <w:r>
        <w:rPr>
          <w:b w:val="0"/>
          <w:i/>
        </w:rPr>
        <w:t>Id</w:t>
      </w:r>
      <w:r>
        <w:rPr>
          <w:b w:val="0"/>
        </w:rPr>
        <w:t>.</w:t>
      </w:r>
    </w:p>
    <w:p w14:paraId="732FDA52" w14:textId="77777777" w:rsidR="008C4610" w:rsidRDefault="008C4610" w:rsidP="008C4610">
      <w:pPr>
        <w:pStyle w:val="BodyText"/>
        <w:spacing w:line="480" w:lineRule="auto"/>
        <w:ind w:firstLine="720"/>
        <w:rPr>
          <w:b w:val="0"/>
        </w:rPr>
      </w:pPr>
      <w:r>
        <w:rPr>
          <w:b w:val="0"/>
        </w:rPr>
        <w:t xml:space="preserve">The court addressed the question of whether the checks given to Nagel after the works were created fulfilled the writing requirement in 17 U.S.C. § 101(2).  </w:t>
      </w:r>
      <w:proofErr w:type="gramStart"/>
      <w:r>
        <w:rPr>
          <w:b w:val="0"/>
          <w:i/>
        </w:rPr>
        <w:t>Id</w:t>
      </w:r>
      <w:r>
        <w:rPr>
          <w:b w:val="0"/>
        </w:rPr>
        <w:t>. at 558.</w:t>
      </w:r>
      <w:proofErr w:type="gramEnd"/>
      <w:r>
        <w:rPr>
          <w:b w:val="0"/>
        </w:rPr>
        <w:t xml:space="preserve">  The court reasoned that in order to fulfill the intent of the statute, the works made for hire provision </w:t>
      </w:r>
      <w:r w:rsidRPr="009D56B6">
        <w:rPr>
          <w:b w:val="0"/>
          <w:i/>
        </w:rPr>
        <w:t>does</w:t>
      </w:r>
      <w:r>
        <w:rPr>
          <w:b w:val="0"/>
        </w:rPr>
        <w:t xml:space="preserve"> require that the parties agree before the creation of the work that it will be made for hire.  However, the court goes on to say, “We are not convinced…that the actual writing memorializing the agreement must be executed before the creation of the work.” </w:t>
      </w:r>
      <w:proofErr w:type="gramStart"/>
      <w:r>
        <w:rPr>
          <w:b w:val="0"/>
          <w:i/>
        </w:rPr>
        <w:t>Id</w:t>
      </w:r>
      <w:r>
        <w:rPr>
          <w:b w:val="0"/>
        </w:rPr>
        <w:t>. at 559.</w:t>
      </w:r>
      <w:proofErr w:type="gramEnd"/>
      <w:r>
        <w:rPr>
          <w:b w:val="0"/>
        </w:rPr>
        <w:t xml:space="preserve">  The court finds that </w:t>
      </w:r>
      <w:r>
        <w:rPr>
          <w:b w:val="0"/>
          <w:i/>
        </w:rPr>
        <w:t>Playboy</w:t>
      </w:r>
      <w:r>
        <w:rPr>
          <w:b w:val="0"/>
        </w:rPr>
        <w:t xml:space="preserve"> clearly intended the works to be made for hire by drafting the checks, and Nagel, by endorsing them, agreed. </w:t>
      </w:r>
      <w:proofErr w:type="gramStart"/>
      <w:r>
        <w:rPr>
          <w:b w:val="0"/>
          <w:i/>
        </w:rPr>
        <w:t>Id</w:t>
      </w:r>
      <w:r>
        <w:rPr>
          <w:b w:val="0"/>
        </w:rPr>
        <w:t>. at 560.</w:t>
      </w:r>
      <w:proofErr w:type="gramEnd"/>
      <w:r>
        <w:rPr>
          <w:b w:val="0"/>
          <w:i/>
        </w:rPr>
        <w:t xml:space="preserve">  </w:t>
      </w:r>
      <w:r w:rsidRPr="00AD7049">
        <w:rPr>
          <w:b w:val="0"/>
        </w:rPr>
        <w:t>The</w:t>
      </w:r>
      <w:r>
        <w:rPr>
          <w:b w:val="0"/>
        </w:rPr>
        <w:t xml:space="preserve"> court does express concern however, that Nagel himself did not endorse all the checks, and remanded for a determination of whether the people who did sign the checks had sufficient agency to do so.  </w:t>
      </w:r>
      <w:proofErr w:type="gramStart"/>
      <w:r>
        <w:rPr>
          <w:b w:val="0"/>
          <w:i/>
        </w:rPr>
        <w:t>Id</w:t>
      </w:r>
      <w:r>
        <w:rPr>
          <w:b w:val="0"/>
        </w:rPr>
        <w:t>. at 564-65.</w:t>
      </w:r>
      <w:proofErr w:type="gramEnd"/>
      <w:r>
        <w:rPr>
          <w:b w:val="0"/>
        </w:rPr>
        <w:t xml:space="preserve"> </w:t>
      </w:r>
    </w:p>
    <w:p w14:paraId="0DD76AD4" w14:textId="77777777" w:rsidR="008C4610" w:rsidRDefault="008C4610" w:rsidP="008C4610">
      <w:pPr>
        <w:pStyle w:val="BodyText"/>
        <w:spacing w:line="480" w:lineRule="auto"/>
        <w:ind w:firstLine="720"/>
        <w:rPr>
          <w:b w:val="0"/>
        </w:rPr>
      </w:pPr>
      <w:r>
        <w:rPr>
          <w:b w:val="0"/>
        </w:rPr>
        <w:lastRenderedPageBreak/>
        <w:t xml:space="preserve">In the present case, there was an oral agreement between Plaintiff OGS TV and Defendant Lime that the screenplay was to be made for hire, and this oral agreement was later memorialized in a written document.  Although in </w:t>
      </w:r>
      <w:r w:rsidRPr="000810EF">
        <w:rPr>
          <w:b w:val="0"/>
          <w:i/>
        </w:rPr>
        <w:t>Playboy</w:t>
      </w:r>
      <w:r>
        <w:rPr>
          <w:b w:val="0"/>
        </w:rPr>
        <w:t xml:space="preserve">, the court was partially convinced of the validity of the agreement between the parties because their relationship was long and extensive, in the present case, the agreement itself between OGS TV and Defendant Lime is clearer.  Defendant Lime was expressly told that the screenplay was to be made for hire, and later signed a </w:t>
      </w:r>
      <w:proofErr w:type="gramStart"/>
      <w:r>
        <w:rPr>
          <w:b w:val="0"/>
        </w:rPr>
        <w:t>document which</w:t>
      </w:r>
      <w:proofErr w:type="gramEnd"/>
      <w:r>
        <w:rPr>
          <w:b w:val="0"/>
        </w:rPr>
        <w:t xml:space="preserve"> reproduced the agreement. The terms of the document were specific and short, and there is very little chance that Defendant Lime signed it without understanding the contents.  Furthermore, unlike in </w:t>
      </w:r>
      <w:r w:rsidRPr="009E592D">
        <w:rPr>
          <w:b w:val="0"/>
          <w:i/>
        </w:rPr>
        <w:t>Playboy</w:t>
      </w:r>
      <w:r>
        <w:rPr>
          <w:b w:val="0"/>
        </w:rPr>
        <w:t xml:space="preserve">, Defendant Lime herself agreed that the work would be made for hire before she created the screenplay, and she personally signed the contract.  Therefore, this situation is even more suggestive of mutual understanding and agreement than the sending and endorsing of the checks in </w:t>
      </w:r>
      <w:r w:rsidRPr="00544B0D">
        <w:rPr>
          <w:b w:val="0"/>
          <w:i/>
        </w:rPr>
        <w:t>Playboy</w:t>
      </w:r>
      <w:r>
        <w:rPr>
          <w:b w:val="0"/>
        </w:rPr>
        <w:t xml:space="preserve">.  </w:t>
      </w:r>
    </w:p>
    <w:p w14:paraId="1C29F2B4" w14:textId="77777777" w:rsidR="008C4610" w:rsidRDefault="008C4610" w:rsidP="008C4610">
      <w:pPr>
        <w:pStyle w:val="BodyText"/>
        <w:spacing w:line="480" w:lineRule="auto"/>
        <w:ind w:firstLine="720"/>
        <w:rPr>
          <w:b w:val="0"/>
        </w:rPr>
      </w:pPr>
      <w:r>
        <w:rPr>
          <w:b w:val="0"/>
        </w:rPr>
        <w:t xml:space="preserve">A court in the Fifth Circuit has also supported this interpretation of the works made for hire provision.  </w:t>
      </w:r>
      <w:proofErr w:type="gramStart"/>
      <w:r>
        <w:rPr>
          <w:b w:val="0"/>
          <w:i/>
        </w:rPr>
        <w:t>Compaq</w:t>
      </w:r>
      <w:r>
        <w:rPr>
          <w:b w:val="0"/>
        </w:rPr>
        <w:t>,</w:t>
      </w:r>
      <w:r>
        <w:rPr>
          <w:b w:val="0"/>
          <w:i/>
        </w:rPr>
        <w:t xml:space="preserve"> </w:t>
      </w:r>
      <w:r>
        <w:rPr>
          <w:b w:val="0"/>
        </w:rPr>
        <w:t>210 F.Supp.2d at 841</w:t>
      </w:r>
      <w:r w:rsidRPr="00686C61">
        <w:rPr>
          <w:b w:val="0"/>
        </w:rPr>
        <w:t>.</w:t>
      </w:r>
      <w:proofErr w:type="gramEnd"/>
      <w:r>
        <w:rPr>
          <w:b w:val="0"/>
        </w:rPr>
        <w:t xml:space="preserve">  In the </w:t>
      </w:r>
      <w:r>
        <w:rPr>
          <w:b w:val="0"/>
          <w:i/>
        </w:rPr>
        <w:t>Compaq</w:t>
      </w:r>
      <w:r>
        <w:rPr>
          <w:b w:val="0"/>
        </w:rPr>
        <w:t xml:space="preserve"> case, there is a dispute over who owns the rights to a set of photographs. </w:t>
      </w:r>
      <w:proofErr w:type="gramStart"/>
      <w:r>
        <w:rPr>
          <w:b w:val="0"/>
          <w:i/>
        </w:rPr>
        <w:t>Id</w:t>
      </w:r>
      <w:r>
        <w:rPr>
          <w:b w:val="0"/>
        </w:rPr>
        <w:t>. at 842.</w:t>
      </w:r>
      <w:proofErr w:type="gramEnd"/>
      <w:r>
        <w:rPr>
          <w:b w:val="0"/>
        </w:rPr>
        <w:t xml:space="preserve"> Compaq claims the photographs through a quitclaim agreement, and </w:t>
      </w:r>
      <w:proofErr w:type="spellStart"/>
      <w:r>
        <w:rPr>
          <w:b w:val="0"/>
        </w:rPr>
        <w:t>Ergonome</w:t>
      </w:r>
      <w:proofErr w:type="spellEnd"/>
      <w:r>
        <w:rPr>
          <w:b w:val="0"/>
        </w:rPr>
        <w:t xml:space="preserve"> claims them through a work made for hire agreement signed after the photographs were taken. </w:t>
      </w:r>
      <w:r>
        <w:rPr>
          <w:b w:val="0"/>
          <w:i/>
        </w:rPr>
        <w:t>Id</w:t>
      </w:r>
      <w:r>
        <w:rPr>
          <w:b w:val="0"/>
        </w:rPr>
        <w:t xml:space="preserve">.   The court adopts the Second Circuit rules and reaffirms their understanding that the Second Circuit is the </w:t>
      </w:r>
      <w:r>
        <w:rPr>
          <w:b w:val="0"/>
          <w:i/>
        </w:rPr>
        <w:t>de facto</w:t>
      </w:r>
      <w:r>
        <w:rPr>
          <w:b w:val="0"/>
        </w:rPr>
        <w:t xml:space="preserve"> Copyright Court of the United States, and exercises particular persuasion in matters of copyright. </w:t>
      </w:r>
      <w:r>
        <w:rPr>
          <w:b w:val="0"/>
          <w:i/>
        </w:rPr>
        <w:t>Id</w:t>
      </w:r>
      <w:r>
        <w:rPr>
          <w:b w:val="0"/>
        </w:rPr>
        <w:t xml:space="preserve">. at 843, </w:t>
      </w:r>
      <w:r w:rsidRPr="00133C01">
        <w:rPr>
          <w:b w:val="0"/>
          <w:i/>
        </w:rPr>
        <w:t>citing</w:t>
      </w:r>
      <w:r>
        <w:rPr>
          <w:b w:val="0"/>
        </w:rPr>
        <w:t xml:space="preserve"> </w:t>
      </w:r>
      <w:r>
        <w:rPr>
          <w:b w:val="0"/>
          <w:i/>
        </w:rPr>
        <w:t>Easter Seal Soc. for Crippled Children and Adults of Louisiana, Inc. v. Playboy Enter</w:t>
      </w:r>
      <w:proofErr w:type="gramStart"/>
      <w:r>
        <w:rPr>
          <w:b w:val="0"/>
          <w:i/>
        </w:rPr>
        <w:t>.</w:t>
      </w:r>
      <w:r>
        <w:rPr>
          <w:b w:val="0"/>
        </w:rPr>
        <w:t>,</w:t>
      </w:r>
      <w:proofErr w:type="gramEnd"/>
      <w:r>
        <w:rPr>
          <w:b w:val="0"/>
        </w:rPr>
        <w:t xml:space="preserve"> 815 F.2d 323, 325 (1987).  The court in </w:t>
      </w:r>
      <w:r>
        <w:rPr>
          <w:b w:val="0"/>
          <w:i/>
        </w:rPr>
        <w:t xml:space="preserve">Compaq </w:t>
      </w:r>
      <w:r>
        <w:rPr>
          <w:b w:val="0"/>
        </w:rPr>
        <w:t xml:space="preserve">finds that the photographer and </w:t>
      </w:r>
      <w:proofErr w:type="spellStart"/>
      <w:r>
        <w:rPr>
          <w:b w:val="0"/>
        </w:rPr>
        <w:t>Ergonome</w:t>
      </w:r>
      <w:proofErr w:type="spellEnd"/>
      <w:r>
        <w:rPr>
          <w:b w:val="0"/>
        </w:rPr>
        <w:t xml:space="preserve"> understood that the photographs were made for hire, and the subsequent written agreement signed by the parties was valid. </w:t>
      </w:r>
      <w:proofErr w:type="gramStart"/>
      <w:r w:rsidRPr="006C31D0">
        <w:rPr>
          <w:b w:val="0"/>
        </w:rPr>
        <w:t>210 F.Supp.2d at 844.</w:t>
      </w:r>
      <w:proofErr w:type="gramEnd"/>
    </w:p>
    <w:p w14:paraId="105092E6" w14:textId="77777777" w:rsidR="008C4610" w:rsidRPr="000607D2" w:rsidRDefault="008C4610" w:rsidP="008C4610">
      <w:pPr>
        <w:pStyle w:val="BodyText"/>
        <w:spacing w:line="480" w:lineRule="auto"/>
        <w:ind w:firstLine="720"/>
        <w:rPr>
          <w:b w:val="0"/>
        </w:rPr>
      </w:pPr>
      <w:r>
        <w:rPr>
          <w:b w:val="0"/>
        </w:rPr>
        <w:lastRenderedPageBreak/>
        <w:t xml:space="preserve">The facts in </w:t>
      </w:r>
      <w:r w:rsidRPr="00D17B32">
        <w:rPr>
          <w:b w:val="0"/>
          <w:i/>
        </w:rPr>
        <w:t>Compaq</w:t>
      </w:r>
      <w:r>
        <w:rPr>
          <w:b w:val="0"/>
        </w:rPr>
        <w:t xml:space="preserve"> parallel the facts of the present case, in which a subsequent written agreement was signed pursuant to a previous oral agreement that the screenplay was made for hire.  The rule from the Second and Fifth Circuits rule is consistent with the plain language of the statute and the legislative intent to provide predictability and certainty to the parties. The Court should therefore adopt this rule, and deny Defendants’ Motion to Dismiss on the grounds that Plaintiff has pled sufficient facts to show that it entered into a valid work made for hire agreement with Defendant Lime by virtue of the express oral and written agreement between the parties.</w:t>
      </w:r>
    </w:p>
    <w:p w14:paraId="7E203B2C" w14:textId="77777777" w:rsidR="008C4610" w:rsidRPr="00914546" w:rsidRDefault="008C4610" w:rsidP="008C4610">
      <w:pPr>
        <w:pStyle w:val="BodyText"/>
        <w:numPr>
          <w:ilvl w:val="0"/>
          <w:numId w:val="5"/>
        </w:numPr>
      </w:pPr>
      <w:r w:rsidRPr="00914546">
        <w:t xml:space="preserve">The Seventh Circuit Interpretation of 17 U.S.C. § 101(2) is Dicta and is Not Persuasive with Regards to When the Written Agreement Must Be Signed. </w:t>
      </w:r>
    </w:p>
    <w:p w14:paraId="358AFAF9" w14:textId="77777777" w:rsidR="008C4610" w:rsidRDefault="008C4610" w:rsidP="008C4610">
      <w:pPr>
        <w:pStyle w:val="BodyText"/>
        <w:ind w:left="720"/>
      </w:pPr>
    </w:p>
    <w:p w14:paraId="2FCB0331" w14:textId="77777777" w:rsidR="008C4610" w:rsidRDefault="008C4610" w:rsidP="008C4610">
      <w:pPr>
        <w:pStyle w:val="BodyText"/>
        <w:spacing w:line="480" w:lineRule="auto"/>
        <w:ind w:firstLine="720"/>
        <w:rPr>
          <w:b w:val="0"/>
        </w:rPr>
      </w:pPr>
      <w:r>
        <w:rPr>
          <w:b w:val="0"/>
        </w:rPr>
        <w:t xml:space="preserve">Defendants point to the Seventh Circuit decision in </w:t>
      </w:r>
      <w:r>
        <w:rPr>
          <w:b w:val="0"/>
          <w:i/>
        </w:rPr>
        <w:t xml:space="preserve">Schiller &amp; Schmidt </w:t>
      </w:r>
      <w:r>
        <w:rPr>
          <w:b w:val="0"/>
        </w:rPr>
        <w:t xml:space="preserve">as a contrary interpretation of the works made for hire provision because the court appears to say that the written statement must precede the creation of the work made for hire. </w:t>
      </w:r>
      <w:r w:rsidRPr="00ED2E6E">
        <w:rPr>
          <w:b w:val="0"/>
          <w:i/>
        </w:rPr>
        <w:t xml:space="preserve">Schiller &amp; Schmidt, Inc. v. </w:t>
      </w:r>
      <w:proofErr w:type="spellStart"/>
      <w:r w:rsidRPr="00ED2E6E">
        <w:rPr>
          <w:b w:val="0"/>
          <w:i/>
        </w:rPr>
        <w:t>Nordisco</w:t>
      </w:r>
      <w:proofErr w:type="spellEnd"/>
      <w:r w:rsidRPr="00ED2E6E">
        <w:rPr>
          <w:b w:val="0"/>
          <w:i/>
        </w:rPr>
        <w:t xml:space="preserve"> Corp.</w:t>
      </w:r>
      <w:r w:rsidRPr="00ED2E6E">
        <w:rPr>
          <w:b w:val="0"/>
        </w:rPr>
        <w:t xml:space="preserve">, 969 F.2d 410, 412 (1992). </w:t>
      </w:r>
      <w:r>
        <w:rPr>
          <w:b w:val="0"/>
        </w:rPr>
        <w:t xml:space="preserve"> However, an examination of the facts of the case reveals that the plaintiff Schiller never signed the written statement in question. </w:t>
      </w:r>
      <w:r>
        <w:rPr>
          <w:b w:val="0"/>
          <w:i/>
        </w:rPr>
        <w:t>Id</w:t>
      </w:r>
      <w:r>
        <w:rPr>
          <w:b w:val="0"/>
        </w:rPr>
        <w:t xml:space="preserve">.   Consequently, the parties had already failed to meet the requirements of the work made for hire provision in 17 U.S.C. § 101(2) because both parties did not sign the agreement. </w:t>
      </w:r>
      <w:r>
        <w:rPr>
          <w:b w:val="0"/>
          <w:i/>
        </w:rPr>
        <w:t>Id</w:t>
      </w:r>
      <w:r>
        <w:rPr>
          <w:b w:val="0"/>
        </w:rPr>
        <w:t xml:space="preserve">.  Therefore, the court’s discussion of </w:t>
      </w:r>
      <w:r>
        <w:rPr>
          <w:b w:val="0"/>
          <w:i/>
        </w:rPr>
        <w:t>when</w:t>
      </w:r>
      <w:r>
        <w:rPr>
          <w:b w:val="0"/>
        </w:rPr>
        <w:t xml:space="preserve"> the written agreement must be signed is no more than dicta, and should not be considered persuasive.</w:t>
      </w:r>
    </w:p>
    <w:p w14:paraId="1A463563" w14:textId="77777777" w:rsidR="008C4610" w:rsidRDefault="008C4610" w:rsidP="008C4610">
      <w:pPr>
        <w:pStyle w:val="BodyText"/>
        <w:spacing w:line="480" w:lineRule="auto"/>
        <w:ind w:firstLine="720"/>
        <w:rPr>
          <w:b w:val="0"/>
        </w:rPr>
      </w:pPr>
      <w:r w:rsidRPr="002545DB">
        <w:rPr>
          <w:b w:val="0"/>
        </w:rPr>
        <w:t>Even assuming that the</w:t>
      </w:r>
      <w:r>
        <w:rPr>
          <w:b w:val="0"/>
        </w:rPr>
        <w:t xml:space="preserve"> Seventh Circuit’s</w:t>
      </w:r>
      <w:r w:rsidRPr="002545DB">
        <w:rPr>
          <w:b w:val="0"/>
        </w:rPr>
        <w:t xml:space="preserve"> discussion of the timing of the writing is persuasive, however, </w:t>
      </w:r>
      <w:r>
        <w:rPr>
          <w:b w:val="0"/>
        </w:rPr>
        <w:t>its</w:t>
      </w:r>
      <w:r w:rsidRPr="002545DB">
        <w:rPr>
          <w:b w:val="0"/>
        </w:rPr>
        <w:t xml:space="preserve"> arguments are not necessarily adverse to Plaintiff OGS TV’s </w:t>
      </w:r>
      <w:r>
        <w:rPr>
          <w:b w:val="0"/>
        </w:rPr>
        <w:t xml:space="preserve">claim of copyright infringement.  </w:t>
      </w:r>
      <w:r w:rsidRPr="002545DB">
        <w:rPr>
          <w:b w:val="0"/>
        </w:rPr>
        <w:t xml:space="preserve">The court gives two reasons for the importance of the signed </w:t>
      </w:r>
      <w:r>
        <w:rPr>
          <w:b w:val="0"/>
        </w:rPr>
        <w:t>writing.  The first, “t</w:t>
      </w:r>
      <w:r w:rsidRPr="002545DB">
        <w:rPr>
          <w:b w:val="0"/>
        </w:rPr>
        <w:t>he req</w:t>
      </w:r>
      <w:r>
        <w:rPr>
          <w:b w:val="0"/>
        </w:rPr>
        <w:t>uirement of a written statement…</w:t>
      </w:r>
      <w:r w:rsidRPr="002545DB">
        <w:rPr>
          <w:b w:val="0"/>
        </w:rPr>
        <w:t xml:space="preserve">is not merely a statute of frauds…that is, it is not only designed to protect people against false claims of oral agreements. </w:t>
      </w:r>
      <w:r w:rsidRPr="002545DB">
        <w:rPr>
          <w:b w:val="0"/>
          <w:i/>
        </w:rPr>
        <w:t xml:space="preserve">If it were, then it </w:t>
      </w:r>
      <w:r w:rsidRPr="002545DB">
        <w:rPr>
          <w:b w:val="0"/>
          <w:i/>
        </w:rPr>
        <w:lastRenderedPageBreak/>
        <w:t>might not matter when the statement had been made or signed.</w:t>
      </w:r>
      <w:r>
        <w:rPr>
          <w:b w:val="0"/>
        </w:rPr>
        <w:t>” [</w:t>
      </w:r>
      <w:proofErr w:type="gramStart"/>
      <w:r w:rsidRPr="002545DB">
        <w:rPr>
          <w:b w:val="0"/>
        </w:rPr>
        <w:t>emphasis</w:t>
      </w:r>
      <w:proofErr w:type="gramEnd"/>
      <w:r w:rsidRPr="002545DB">
        <w:rPr>
          <w:b w:val="0"/>
        </w:rPr>
        <w:t xml:space="preserve"> added] </w:t>
      </w:r>
      <w:proofErr w:type="gramStart"/>
      <w:r w:rsidRPr="002545DB">
        <w:rPr>
          <w:b w:val="0"/>
          <w:i/>
        </w:rPr>
        <w:t>Schiller</w:t>
      </w:r>
      <w:r w:rsidRPr="002545DB">
        <w:rPr>
          <w:b w:val="0"/>
        </w:rPr>
        <w:t xml:space="preserve"> 969 F.2d at 412.</w:t>
      </w:r>
      <w:proofErr w:type="gramEnd"/>
      <w:r>
        <w:rPr>
          <w:b w:val="0"/>
        </w:rPr>
        <w:t xml:space="preserve">  Here, the court agrees that the timing of the writing is not essential to protecting against false oral claims.  Furthermore, such an issue is not present here, as Defendant Lime has admitted that the parties had an oral agreement in which she agreed that the work was made for hire, and that Plaintiff would be the author of the work.  </w:t>
      </w:r>
    </w:p>
    <w:p w14:paraId="127ACE7D" w14:textId="77777777" w:rsidR="008C4610" w:rsidRDefault="008C4610" w:rsidP="008C4610">
      <w:pPr>
        <w:pStyle w:val="BodyText"/>
        <w:spacing w:line="480" w:lineRule="auto"/>
        <w:ind w:firstLine="720"/>
        <w:rPr>
          <w:b w:val="0"/>
        </w:rPr>
      </w:pPr>
      <w:r>
        <w:rPr>
          <w:b w:val="0"/>
        </w:rPr>
        <w:t xml:space="preserve">The court’s second reason for the writing requirement, which they deem more important, is also not adverse to Plaintiff’s case.  The court states, “the signed statement requirement in       § 101(2) has a second purpose to make the ownership of property rights in intellectual property clear and definite, so that such property will be readily marketable.” </w:t>
      </w:r>
      <w:proofErr w:type="gramStart"/>
      <w:r>
        <w:rPr>
          <w:b w:val="0"/>
          <w:i/>
        </w:rPr>
        <w:t>Schiller</w:t>
      </w:r>
      <w:r>
        <w:rPr>
          <w:b w:val="0"/>
        </w:rPr>
        <w:t>, 969 F.2d at 412.</w:t>
      </w:r>
      <w:proofErr w:type="gramEnd"/>
      <w:r>
        <w:rPr>
          <w:b w:val="0"/>
        </w:rPr>
        <w:t xml:space="preserve">  Here, the </w:t>
      </w:r>
      <w:proofErr w:type="gramStart"/>
      <w:r>
        <w:rPr>
          <w:b w:val="0"/>
        </w:rPr>
        <w:t>court’s</w:t>
      </w:r>
      <w:proofErr w:type="gramEnd"/>
      <w:r>
        <w:rPr>
          <w:b w:val="0"/>
        </w:rPr>
        <w:t xml:space="preserve"> reasoning reflects the legislative history which indicates that the overall purpose of the copyright act is to provide notice and certainty to the parties.  In the present case, however, the oral agreement between OGS TV and Defendant Lime, combined with the written agreement are sufficient to provide this clear and definite notice of ownership, and there can be no doubt as to the mutual understanding and agreement of the parties.  </w:t>
      </w:r>
    </w:p>
    <w:p w14:paraId="0C505BBE" w14:textId="77777777" w:rsidR="008C4610" w:rsidRDefault="008C4610" w:rsidP="008C4610">
      <w:pPr>
        <w:pStyle w:val="BodyText"/>
        <w:spacing w:line="480" w:lineRule="auto"/>
        <w:ind w:firstLine="720"/>
        <w:rPr>
          <w:b w:val="0"/>
        </w:rPr>
      </w:pPr>
      <w:r>
        <w:rPr>
          <w:b w:val="0"/>
        </w:rPr>
        <w:t xml:space="preserve">Plaintiff OGS TV has fully complied with the requirements of the statute, and is the rightful owner of the copyright to the screenplay by virtue of the work made for hire agreement with Defendant Lime. The rule from the Second and Fifth Circuits that a subsequent written agreement is valid when it memorializes a previous oral agreement is consistent with the language and legislative history of the statute and should be adopted by this Court.  Therefore, the Court should deny Defendants’ Motion to Dismiss and allow Plaintiff’s case of copyright infringement to proceed. </w:t>
      </w:r>
    </w:p>
    <w:p w14:paraId="01DC42B2" w14:textId="77777777" w:rsidR="008C4610" w:rsidRDefault="008C4610" w:rsidP="008C4610">
      <w:pPr>
        <w:pStyle w:val="BodyText"/>
        <w:spacing w:line="480" w:lineRule="auto"/>
        <w:ind w:firstLine="720"/>
        <w:rPr>
          <w:b w:val="0"/>
        </w:rPr>
      </w:pPr>
    </w:p>
    <w:p w14:paraId="79F762C1" w14:textId="77777777" w:rsidR="008C4610" w:rsidRDefault="008C4610" w:rsidP="008C4610">
      <w:pPr>
        <w:pStyle w:val="BodyText"/>
        <w:spacing w:line="480" w:lineRule="auto"/>
        <w:ind w:firstLine="720"/>
        <w:rPr>
          <w:b w:val="0"/>
        </w:rPr>
      </w:pPr>
    </w:p>
    <w:p w14:paraId="229479E2" w14:textId="77777777" w:rsidR="008C4610" w:rsidRPr="00BB1491" w:rsidRDefault="008C4610" w:rsidP="008C4610">
      <w:pPr>
        <w:pStyle w:val="BodyText"/>
        <w:numPr>
          <w:ilvl w:val="0"/>
          <w:numId w:val="2"/>
        </w:numPr>
        <w:rPr>
          <w:b w:val="0"/>
          <w:u w:val="single"/>
        </w:rPr>
      </w:pPr>
      <w:r w:rsidRPr="00BB1491">
        <w:rPr>
          <w:u w:val="single"/>
        </w:rPr>
        <w:lastRenderedPageBreak/>
        <w:t xml:space="preserve">Public Policy Necessitates the Adoption of a Rule that Will Allow the Courts to Fulfill the Clear Intentions of the Parties Involved in an Agreement. </w:t>
      </w:r>
    </w:p>
    <w:p w14:paraId="35148F92" w14:textId="77777777" w:rsidR="008C4610" w:rsidRPr="00706D4E" w:rsidRDefault="008C4610" w:rsidP="008C4610">
      <w:pPr>
        <w:pStyle w:val="BodyText"/>
        <w:ind w:left="360"/>
        <w:rPr>
          <w:b w:val="0"/>
        </w:rPr>
      </w:pPr>
    </w:p>
    <w:p w14:paraId="70D49DEA" w14:textId="77777777" w:rsidR="008C4610" w:rsidRDefault="008C4610" w:rsidP="008C4610">
      <w:pPr>
        <w:pStyle w:val="BodyText"/>
        <w:spacing w:line="480" w:lineRule="auto"/>
        <w:ind w:firstLine="720"/>
        <w:rPr>
          <w:b w:val="0"/>
        </w:rPr>
      </w:pPr>
      <w:r w:rsidRPr="00706D4E">
        <w:rPr>
          <w:b w:val="0"/>
        </w:rPr>
        <w:t>Public policy strongly support</w:t>
      </w:r>
      <w:r>
        <w:rPr>
          <w:b w:val="0"/>
        </w:rPr>
        <w:t>s</w:t>
      </w:r>
      <w:r w:rsidRPr="00706D4E">
        <w:rPr>
          <w:b w:val="0"/>
        </w:rPr>
        <w:t xml:space="preserve"> the adoption of the rule </w:t>
      </w:r>
      <w:r>
        <w:rPr>
          <w:b w:val="0"/>
        </w:rPr>
        <w:t>from the</w:t>
      </w:r>
      <w:r w:rsidRPr="00706D4E">
        <w:rPr>
          <w:b w:val="0"/>
        </w:rPr>
        <w:t xml:space="preserve"> </w:t>
      </w:r>
      <w:r>
        <w:rPr>
          <w:b w:val="0"/>
        </w:rPr>
        <w:t>Second and Fifth</w:t>
      </w:r>
      <w:r w:rsidRPr="00706D4E">
        <w:rPr>
          <w:b w:val="0"/>
        </w:rPr>
        <w:t xml:space="preserve"> Circuits that a subsequent written agreement is valid when it memorializes a previous oral agreement that a work is made for hire. </w:t>
      </w:r>
      <w:r>
        <w:rPr>
          <w:b w:val="0"/>
        </w:rPr>
        <w:t xml:space="preserve"> This rule is</w:t>
      </w:r>
      <w:r w:rsidRPr="00706D4E">
        <w:rPr>
          <w:b w:val="0"/>
        </w:rPr>
        <w:t xml:space="preserve"> consistent with the legislative history of the Copyright Act and the desire of Congress to provide notice and certainty to the parties involved in the agreement.  </w:t>
      </w:r>
      <w:r w:rsidRPr="00594FC9">
        <w:rPr>
          <w:b w:val="0"/>
        </w:rPr>
        <w:t xml:space="preserve">It is also </w:t>
      </w:r>
      <w:r>
        <w:rPr>
          <w:b w:val="0"/>
        </w:rPr>
        <w:t xml:space="preserve">important that this </w:t>
      </w:r>
      <w:r w:rsidRPr="00594FC9">
        <w:rPr>
          <w:b w:val="0"/>
        </w:rPr>
        <w:t>rule is rather nar</w:t>
      </w:r>
      <w:r>
        <w:rPr>
          <w:b w:val="0"/>
        </w:rPr>
        <w:t xml:space="preserve">row.  Rightly, the courts </w:t>
      </w:r>
      <w:r w:rsidRPr="00594FC9">
        <w:rPr>
          <w:b w:val="0"/>
        </w:rPr>
        <w:t>in</w:t>
      </w:r>
      <w:r>
        <w:rPr>
          <w:b w:val="0"/>
        </w:rPr>
        <w:t xml:space="preserve"> both</w:t>
      </w:r>
      <w:r w:rsidRPr="00594FC9">
        <w:rPr>
          <w:b w:val="0"/>
        </w:rPr>
        <w:t xml:space="preserve"> </w:t>
      </w:r>
      <w:r w:rsidRPr="00594FC9">
        <w:rPr>
          <w:b w:val="0"/>
          <w:i/>
        </w:rPr>
        <w:t>Schiller</w:t>
      </w:r>
      <w:r w:rsidRPr="00594FC9">
        <w:rPr>
          <w:b w:val="0"/>
        </w:rPr>
        <w:t xml:space="preserve"> and </w:t>
      </w:r>
      <w:r w:rsidRPr="00594FC9">
        <w:rPr>
          <w:b w:val="0"/>
          <w:i/>
        </w:rPr>
        <w:t>Playboy</w:t>
      </w:r>
      <w:r w:rsidRPr="00594FC9">
        <w:rPr>
          <w:b w:val="0"/>
        </w:rPr>
        <w:t xml:space="preserve"> express concern about a subsequent written agreement alone.  However, when there is a </w:t>
      </w:r>
      <w:r>
        <w:rPr>
          <w:b w:val="0"/>
        </w:rPr>
        <w:t xml:space="preserve">clear, </w:t>
      </w:r>
      <w:r w:rsidRPr="00594FC9">
        <w:rPr>
          <w:b w:val="0"/>
        </w:rPr>
        <w:t xml:space="preserve">oral </w:t>
      </w:r>
      <w:r>
        <w:rPr>
          <w:b w:val="0"/>
        </w:rPr>
        <w:t xml:space="preserve">and written </w:t>
      </w:r>
      <w:r w:rsidRPr="00594FC9">
        <w:rPr>
          <w:b w:val="0"/>
        </w:rPr>
        <w:t>agreement between parties as to the status of a work</w:t>
      </w:r>
      <w:r>
        <w:rPr>
          <w:b w:val="0"/>
        </w:rPr>
        <w:t xml:space="preserve"> as made for hire</w:t>
      </w:r>
      <w:r w:rsidRPr="00594FC9">
        <w:rPr>
          <w:b w:val="0"/>
        </w:rPr>
        <w:t>, there can be little doubt as to the mutua</w:t>
      </w:r>
      <w:r>
        <w:rPr>
          <w:b w:val="0"/>
        </w:rPr>
        <w:t xml:space="preserve">l understanding of the parties.  </w:t>
      </w:r>
      <w:r w:rsidRPr="00594FC9">
        <w:rPr>
          <w:b w:val="0"/>
        </w:rPr>
        <w:t xml:space="preserve">In fact, an express oral agreement coupled with a written one can serve to provide even greater certainty than a written document alone, </w:t>
      </w:r>
      <w:r>
        <w:rPr>
          <w:b w:val="0"/>
        </w:rPr>
        <w:t xml:space="preserve">further </w:t>
      </w:r>
      <w:r w:rsidRPr="00594FC9">
        <w:rPr>
          <w:b w:val="0"/>
        </w:rPr>
        <w:t>alleviating concerns about authors signing away rights without understanding the consequences.</w:t>
      </w:r>
      <w:r>
        <w:t xml:space="preserve">  </w:t>
      </w:r>
    </w:p>
    <w:p w14:paraId="27BB1DF5" w14:textId="77777777" w:rsidR="008C4610" w:rsidRPr="00507120" w:rsidRDefault="008C4610" w:rsidP="008C4610">
      <w:pPr>
        <w:pStyle w:val="BodyText"/>
        <w:spacing w:line="480" w:lineRule="auto"/>
        <w:ind w:firstLine="720"/>
        <w:rPr>
          <w:b w:val="0"/>
        </w:rPr>
      </w:pPr>
      <w:r w:rsidRPr="00706D4E">
        <w:rPr>
          <w:b w:val="0"/>
        </w:rPr>
        <w:t xml:space="preserve">Furthermore, as the court in </w:t>
      </w:r>
      <w:r w:rsidRPr="00706D4E">
        <w:rPr>
          <w:b w:val="0"/>
          <w:i/>
        </w:rPr>
        <w:t>Compaq</w:t>
      </w:r>
      <w:r w:rsidRPr="00706D4E">
        <w:rPr>
          <w:b w:val="0"/>
        </w:rPr>
        <w:t xml:space="preserve"> notes, this rule will allow for greater flexibility, and a case-by-case inquiry into the circumstances of an agreement.  </w:t>
      </w:r>
      <w:proofErr w:type="gramStart"/>
      <w:r>
        <w:rPr>
          <w:b w:val="0"/>
        </w:rPr>
        <w:t>210 F.Supp.2d at 843.</w:t>
      </w:r>
      <w:proofErr w:type="gramEnd"/>
      <w:r>
        <w:rPr>
          <w:b w:val="0"/>
        </w:rPr>
        <w:t xml:space="preserve">   Such flexibility is important, because as the </w:t>
      </w:r>
      <w:proofErr w:type="spellStart"/>
      <w:r>
        <w:rPr>
          <w:b w:val="0"/>
        </w:rPr>
        <w:t>Nimmers</w:t>
      </w:r>
      <w:proofErr w:type="spellEnd"/>
      <w:r>
        <w:rPr>
          <w:b w:val="0"/>
        </w:rPr>
        <w:t xml:space="preserve"> in their treatise on copyright indicate, “One can imagine claims involving parties each of whom knew of the unanimous intent among all concerned that the work made for hire doctrine would apply…in that circumstance, </w:t>
      </w:r>
      <w:r w:rsidRPr="00706D4E">
        <w:rPr>
          <w:b w:val="0"/>
        </w:rPr>
        <w:t>the bright line rule could frustrate the intent of the parties, and cloud rather than serve the goal of certai</w:t>
      </w:r>
      <w:r>
        <w:rPr>
          <w:b w:val="0"/>
        </w:rPr>
        <w:t xml:space="preserve">nty.” David </w:t>
      </w:r>
      <w:proofErr w:type="spellStart"/>
      <w:r>
        <w:rPr>
          <w:b w:val="0"/>
        </w:rPr>
        <w:t>Nimmer</w:t>
      </w:r>
      <w:proofErr w:type="spellEnd"/>
      <w:r>
        <w:rPr>
          <w:b w:val="0"/>
        </w:rPr>
        <w:t xml:space="preserve">, </w:t>
      </w:r>
      <w:proofErr w:type="spellStart"/>
      <w:r>
        <w:rPr>
          <w:b w:val="0"/>
          <w:i/>
        </w:rPr>
        <w:t>Nimmer</w:t>
      </w:r>
      <w:proofErr w:type="spellEnd"/>
      <w:r>
        <w:rPr>
          <w:b w:val="0"/>
          <w:i/>
        </w:rPr>
        <w:t xml:space="preserve"> on Copyright</w:t>
      </w:r>
      <w:r>
        <w:rPr>
          <w:b w:val="0"/>
        </w:rPr>
        <w:t xml:space="preserve"> § 5.03 at 35-6 (1995).  </w:t>
      </w:r>
      <w:r w:rsidRPr="00706D4E">
        <w:rPr>
          <w:b w:val="0"/>
        </w:rPr>
        <w:t xml:space="preserve">In </w:t>
      </w:r>
      <w:r>
        <w:rPr>
          <w:b w:val="0"/>
        </w:rPr>
        <w:t>the</w:t>
      </w:r>
      <w:r w:rsidRPr="00706D4E">
        <w:rPr>
          <w:b w:val="0"/>
        </w:rPr>
        <w:t xml:space="preserve"> </w:t>
      </w:r>
      <w:r>
        <w:rPr>
          <w:b w:val="0"/>
        </w:rPr>
        <w:t>present</w:t>
      </w:r>
      <w:r w:rsidRPr="00706D4E">
        <w:rPr>
          <w:b w:val="0"/>
        </w:rPr>
        <w:t xml:space="preserve"> </w:t>
      </w:r>
      <w:r>
        <w:rPr>
          <w:b w:val="0"/>
        </w:rPr>
        <w:t>case</w:t>
      </w:r>
      <w:r w:rsidRPr="00706D4E">
        <w:rPr>
          <w:b w:val="0"/>
        </w:rPr>
        <w:t>,</w:t>
      </w:r>
      <w:r>
        <w:rPr>
          <w:b w:val="0"/>
        </w:rPr>
        <w:t xml:space="preserve"> the exact situation imagined by the </w:t>
      </w:r>
      <w:proofErr w:type="spellStart"/>
      <w:r>
        <w:rPr>
          <w:b w:val="0"/>
        </w:rPr>
        <w:t>Nimmers</w:t>
      </w:r>
      <w:proofErr w:type="spellEnd"/>
      <w:r>
        <w:rPr>
          <w:b w:val="0"/>
        </w:rPr>
        <w:t xml:space="preserve"> is exemplified. </w:t>
      </w:r>
      <w:r w:rsidRPr="00706D4E">
        <w:rPr>
          <w:b w:val="0"/>
        </w:rPr>
        <w:t xml:space="preserve">Plaintiff OGS TV and Defendant Lime </w:t>
      </w:r>
      <w:r>
        <w:rPr>
          <w:b w:val="0"/>
        </w:rPr>
        <w:t xml:space="preserve">entered into a clear and mutual oral agreement before the work was created, and subsequently signed a written agreement.  Therefore, to adopt the bright line rule in this case would result in a grave injustice to Plaintiff OGS TV, and frustrate the explicit intent of the parties involved in the </w:t>
      </w:r>
      <w:r>
        <w:rPr>
          <w:b w:val="0"/>
        </w:rPr>
        <w:lastRenderedPageBreak/>
        <w:t xml:space="preserve">transaction to enter into a work made for hire agreement. On these grounds, the Court should allow Plaintiff’s claim of copyright </w:t>
      </w:r>
      <w:r w:rsidRPr="00507120">
        <w:rPr>
          <w:b w:val="0"/>
        </w:rPr>
        <w:t xml:space="preserve">infringement to proceed and deny Defendants’ Motion to Dismiss.   </w:t>
      </w:r>
    </w:p>
    <w:p w14:paraId="507914E6" w14:textId="77777777" w:rsidR="008C4610" w:rsidRPr="00507120" w:rsidRDefault="008C4610" w:rsidP="008C4610">
      <w:pPr>
        <w:pStyle w:val="Heading3"/>
      </w:pPr>
      <w:r w:rsidRPr="00507120">
        <w:t>CONCLUSION</w:t>
      </w:r>
    </w:p>
    <w:p w14:paraId="50238DAD" w14:textId="77777777" w:rsidR="008C4610" w:rsidRDefault="008C4610" w:rsidP="008C4610">
      <w:pPr>
        <w:spacing w:line="480" w:lineRule="auto"/>
        <w:ind w:left="0" w:firstLine="0"/>
      </w:pPr>
      <w:r w:rsidRPr="00507120">
        <w:tab/>
        <w:t xml:space="preserve">For all of the reasons above, the Court should deny Defendants’ Motion to Dismiss and find that Plaintiff has pled sufficient facts to state a claim for relief.  Plaintiff OGS TV has met the stated requirements of the plain language of the works made for hire provision and is the owner of the screenplay “Anticipatory Repudiation.”  </w:t>
      </w:r>
      <w:r>
        <w:t>The</w:t>
      </w:r>
      <w:r w:rsidRPr="00507120">
        <w:t xml:space="preserve"> legislative history</w:t>
      </w:r>
      <w:r>
        <w:t xml:space="preserve"> of the Copyright Act</w:t>
      </w:r>
      <w:r w:rsidRPr="00507120">
        <w:t xml:space="preserve"> demonstrates that the purpose of the Copyright Act and the works made for hire provision is to provide certainty and notice to parties as to who owns the copyright of a work.  The Court should </w:t>
      </w:r>
      <w:r>
        <w:t xml:space="preserve">therefore </w:t>
      </w:r>
      <w:r w:rsidRPr="00507120">
        <w:t xml:space="preserve">adopt the rule that a subsequent written agreement is valid when it memorializes a previous oral agreement in order to fulfill the intent of Congress and recognize the clear </w:t>
      </w:r>
      <w:r>
        <w:t>understanding</w:t>
      </w:r>
      <w:r w:rsidRPr="00507120">
        <w:t xml:space="preserve"> of the parties involved in the agreement.  This rule will permit the Court to avoid the injustice that would result from denying Plaintiff the opportunity to move forward with </w:t>
      </w:r>
      <w:r>
        <w:t>its</w:t>
      </w:r>
      <w:r w:rsidRPr="00507120">
        <w:t xml:space="preserve"> claim of copyright infringement.</w:t>
      </w:r>
      <w:r>
        <w:t xml:space="preserve">  </w:t>
      </w:r>
    </w:p>
    <w:p w14:paraId="7EFF02AE" w14:textId="77777777" w:rsidR="008C4610" w:rsidRDefault="008C4610" w:rsidP="008C4610">
      <w:pPr>
        <w:ind w:left="0" w:firstLine="0"/>
        <w:jc w:val="both"/>
      </w:pPr>
    </w:p>
    <w:p w14:paraId="1816CF70" w14:textId="77777777" w:rsidR="008C4610" w:rsidRDefault="008C4610" w:rsidP="008C4610">
      <w:pPr>
        <w:ind w:left="0" w:firstLine="720"/>
        <w:jc w:val="both"/>
      </w:pPr>
      <w:r>
        <w:t>Dated:  March 22, 2012</w:t>
      </w:r>
      <w:r>
        <w:tab/>
      </w:r>
      <w:r>
        <w:tab/>
      </w:r>
      <w:r>
        <w:tab/>
      </w:r>
      <w:r>
        <w:tab/>
      </w:r>
      <w:proofErr w:type="gramStart"/>
      <w:r>
        <w:t>Respectfully</w:t>
      </w:r>
      <w:proofErr w:type="gramEnd"/>
      <w:r>
        <w:t xml:space="preserve"> submitted,</w:t>
      </w:r>
    </w:p>
    <w:p w14:paraId="3E20C9D7" w14:textId="77777777" w:rsidR="008C4610" w:rsidRDefault="008C4610" w:rsidP="008C4610">
      <w:pPr>
        <w:ind w:left="0" w:firstLine="0"/>
        <w:jc w:val="both"/>
      </w:pPr>
    </w:p>
    <w:p w14:paraId="0AEC01E5" w14:textId="77777777" w:rsidR="008C4610" w:rsidRDefault="008C4610" w:rsidP="008C4610">
      <w:pPr>
        <w:jc w:val="both"/>
      </w:pPr>
    </w:p>
    <w:p w14:paraId="1B1157EE" w14:textId="77777777" w:rsidR="008C4610" w:rsidRDefault="008C4610" w:rsidP="008C4610">
      <w:pPr>
        <w:jc w:val="both"/>
      </w:pPr>
      <w:r>
        <w:tab/>
      </w:r>
      <w:r>
        <w:tab/>
      </w:r>
      <w:r>
        <w:tab/>
      </w:r>
      <w:r>
        <w:tab/>
      </w:r>
      <w:r>
        <w:tab/>
      </w:r>
      <w:r>
        <w:tab/>
      </w:r>
      <w:r>
        <w:tab/>
      </w:r>
      <w:r>
        <w:tab/>
        <w:t>ATTORNEY FOR PLAINTIFF</w:t>
      </w:r>
    </w:p>
    <w:p w14:paraId="0366FF9C" w14:textId="77777777" w:rsidR="008C4610" w:rsidRDefault="008C4610" w:rsidP="008C4610">
      <w:pPr>
        <w:jc w:val="both"/>
      </w:pPr>
      <w:r>
        <w:tab/>
      </w:r>
      <w:r>
        <w:tab/>
      </w:r>
      <w:r>
        <w:tab/>
      </w:r>
      <w:r>
        <w:tab/>
      </w:r>
      <w:r>
        <w:tab/>
      </w:r>
      <w:r>
        <w:tab/>
      </w:r>
      <w:r>
        <w:tab/>
      </w:r>
      <w:r>
        <w:tab/>
        <w:t xml:space="preserve">OGS TV, INC. </w:t>
      </w:r>
    </w:p>
    <w:p w14:paraId="2168B55A" w14:textId="77777777" w:rsidR="008C4610" w:rsidRDefault="008C4610" w:rsidP="008C4610">
      <w:pPr>
        <w:spacing w:line="480" w:lineRule="auto"/>
        <w:ind w:left="0" w:firstLine="0"/>
      </w:pPr>
    </w:p>
    <w:p w14:paraId="49020195" w14:textId="77777777" w:rsidR="00A41DB1" w:rsidRDefault="00A41DB1"/>
    <w:sectPr w:rsidR="00A41DB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7C766" w14:textId="77777777" w:rsidR="005F4692" w:rsidRDefault="00620A04">
      <w:r>
        <w:separator/>
      </w:r>
    </w:p>
  </w:endnote>
  <w:endnote w:type="continuationSeparator" w:id="0">
    <w:p w14:paraId="257B4BF5" w14:textId="77777777" w:rsidR="005F4692" w:rsidRDefault="0062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493216"/>
      <w:docPartObj>
        <w:docPartGallery w:val="Page Numbers (Bottom of Page)"/>
        <w:docPartUnique/>
      </w:docPartObj>
    </w:sdtPr>
    <w:sdtEndPr>
      <w:rPr>
        <w:noProof/>
      </w:rPr>
    </w:sdtEndPr>
    <w:sdtContent>
      <w:p w14:paraId="3F70D203" w14:textId="77777777" w:rsidR="00641983" w:rsidRDefault="008C4610" w:rsidP="00320614">
        <w:pPr>
          <w:pStyle w:val="Footer"/>
          <w:ind w:left="360"/>
          <w:jc w:val="center"/>
        </w:pPr>
        <w:r>
          <w:fldChar w:fldCharType="begin"/>
        </w:r>
        <w:r>
          <w:instrText xml:space="preserve"> PAGE   \* MERGEFORMAT </w:instrText>
        </w:r>
        <w:r>
          <w:fldChar w:fldCharType="separate"/>
        </w:r>
        <w:r w:rsidR="00121DC7">
          <w:rPr>
            <w:noProof/>
          </w:rPr>
          <w:t>1</w:t>
        </w:r>
        <w:r>
          <w:rPr>
            <w:noProof/>
          </w:rPr>
          <w:fldChar w:fldCharType="end"/>
        </w:r>
      </w:p>
    </w:sdtContent>
  </w:sdt>
  <w:p w14:paraId="6635A40A" w14:textId="77777777" w:rsidR="00641983" w:rsidRDefault="00121D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37A55" w14:textId="77777777" w:rsidR="005F4692" w:rsidRDefault="00620A04">
      <w:r>
        <w:separator/>
      </w:r>
    </w:p>
  </w:footnote>
  <w:footnote w:type="continuationSeparator" w:id="0">
    <w:p w14:paraId="712DEDDD" w14:textId="77777777" w:rsidR="005F4692" w:rsidRDefault="00620A0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31E6A"/>
    <w:multiLevelType w:val="hybridMultilevel"/>
    <w:tmpl w:val="060C3A50"/>
    <w:lvl w:ilvl="0" w:tplc="804421E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F750E49"/>
    <w:multiLevelType w:val="hybridMultilevel"/>
    <w:tmpl w:val="03D43126"/>
    <w:lvl w:ilvl="0" w:tplc="550E8E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F457C41"/>
    <w:multiLevelType w:val="multilevel"/>
    <w:tmpl w:val="9500A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710F2EA7"/>
    <w:multiLevelType w:val="hybridMultilevel"/>
    <w:tmpl w:val="2E5A88C2"/>
    <w:lvl w:ilvl="0" w:tplc="F9B4FE52">
      <w:start w:val="1"/>
      <w:numFmt w:val="upperLetter"/>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2894981"/>
    <w:multiLevelType w:val="hybridMultilevel"/>
    <w:tmpl w:val="77BE1C32"/>
    <w:lvl w:ilvl="0" w:tplc="520E51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610"/>
    <w:rsid w:val="00121DC7"/>
    <w:rsid w:val="005F4692"/>
    <w:rsid w:val="00620A04"/>
    <w:rsid w:val="008C4610"/>
    <w:rsid w:val="00A41DB1"/>
    <w:rsid w:val="00C24A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81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ind w:left="108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10"/>
  </w:style>
  <w:style w:type="paragraph" w:styleId="Heading1">
    <w:name w:val="heading 1"/>
    <w:basedOn w:val="Normal"/>
    <w:next w:val="Normal"/>
    <w:link w:val="Heading1Char"/>
    <w:uiPriority w:val="9"/>
    <w:qFormat/>
    <w:rsid w:val="008C4610"/>
    <w:pPr>
      <w:keepNext/>
      <w:ind w:left="0" w:firstLine="0"/>
      <w:outlineLvl w:val="0"/>
    </w:pPr>
    <w:rPr>
      <w:b/>
    </w:rPr>
  </w:style>
  <w:style w:type="paragraph" w:styleId="Heading3">
    <w:name w:val="heading 3"/>
    <w:basedOn w:val="Normal"/>
    <w:next w:val="Normal"/>
    <w:link w:val="Heading3Char"/>
    <w:uiPriority w:val="9"/>
    <w:unhideWhenUsed/>
    <w:qFormat/>
    <w:rsid w:val="008C4610"/>
    <w:pPr>
      <w:keepNext/>
      <w:spacing w:line="480" w:lineRule="auto"/>
      <w:ind w:left="0" w:firstLine="0"/>
      <w:jc w:val="center"/>
      <w:outlineLvl w:val="2"/>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610"/>
    <w:rPr>
      <w:b/>
    </w:rPr>
  </w:style>
  <w:style w:type="character" w:customStyle="1" w:styleId="Heading3Char">
    <w:name w:val="Heading 3 Char"/>
    <w:basedOn w:val="DefaultParagraphFont"/>
    <w:link w:val="Heading3"/>
    <w:uiPriority w:val="9"/>
    <w:rsid w:val="008C4610"/>
    <w:rPr>
      <w:b/>
      <w:u w:val="single"/>
    </w:rPr>
  </w:style>
  <w:style w:type="table" w:customStyle="1" w:styleId="TableGrid1">
    <w:name w:val="Table Grid1"/>
    <w:basedOn w:val="TableNormal"/>
    <w:next w:val="TableGrid"/>
    <w:uiPriority w:val="59"/>
    <w:rsid w:val="008C4610"/>
    <w:pPr>
      <w:ind w:left="0" w:firstLine="0"/>
    </w:pPr>
    <w:rPr>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8C4610"/>
    <w:pPr>
      <w:tabs>
        <w:tab w:val="center" w:pos="4680"/>
        <w:tab w:val="right" w:pos="9360"/>
      </w:tabs>
    </w:pPr>
  </w:style>
  <w:style w:type="character" w:customStyle="1" w:styleId="FooterChar">
    <w:name w:val="Footer Char"/>
    <w:basedOn w:val="DefaultParagraphFont"/>
    <w:link w:val="Footer"/>
    <w:uiPriority w:val="99"/>
    <w:rsid w:val="008C4610"/>
  </w:style>
  <w:style w:type="paragraph" w:styleId="BodyText">
    <w:name w:val="Body Text"/>
    <w:basedOn w:val="Normal"/>
    <w:link w:val="BodyTextChar"/>
    <w:uiPriority w:val="99"/>
    <w:unhideWhenUsed/>
    <w:rsid w:val="008C4610"/>
    <w:pPr>
      <w:ind w:left="0" w:firstLine="0"/>
    </w:pPr>
    <w:rPr>
      <w:b/>
    </w:rPr>
  </w:style>
  <w:style w:type="character" w:customStyle="1" w:styleId="BodyTextChar">
    <w:name w:val="Body Text Char"/>
    <w:basedOn w:val="DefaultParagraphFont"/>
    <w:link w:val="BodyText"/>
    <w:uiPriority w:val="99"/>
    <w:rsid w:val="008C4610"/>
    <w:rPr>
      <w:b/>
    </w:rPr>
  </w:style>
  <w:style w:type="paragraph" w:styleId="ListParagraph">
    <w:name w:val="List Paragraph"/>
    <w:basedOn w:val="Normal"/>
    <w:uiPriority w:val="34"/>
    <w:qFormat/>
    <w:rsid w:val="008C4610"/>
    <w:pPr>
      <w:ind w:left="720"/>
      <w:contextualSpacing/>
    </w:pPr>
  </w:style>
  <w:style w:type="table" w:styleId="TableGrid">
    <w:name w:val="Table Grid"/>
    <w:basedOn w:val="TableNormal"/>
    <w:uiPriority w:val="59"/>
    <w:rsid w:val="008C46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ind w:left="108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10"/>
  </w:style>
  <w:style w:type="paragraph" w:styleId="Heading1">
    <w:name w:val="heading 1"/>
    <w:basedOn w:val="Normal"/>
    <w:next w:val="Normal"/>
    <w:link w:val="Heading1Char"/>
    <w:uiPriority w:val="9"/>
    <w:qFormat/>
    <w:rsid w:val="008C4610"/>
    <w:pPr>
      <w:keepNext/>
      <w:ind w:left="0" w:firstLine="0"/>
      <w:outlineLvl w:val="0"/>
    </w:pPr>
    <w:rPr>
      <w:b/>
    </w:rPr>
  </w:style>
  <w:style w:type="paragraph" w:styleId="Heading3">
    <w:name w:val="heading 3"/>
    <w:basedOn w:val="Normal"/>
    <w:next w:val="Normal"/>
    <w:link w:val="Heading3Char"/>
    <w:uiPriority w:val="9"/>
    <w:unhideWhenUsed/>
    <w:qFormat/>
    <w:rsid w:val="008C4610"/>
    <w:pPr>
      <w:keepNext/>
      <w:spacing w:line="480" w:lineRule="auto"/>
      <w:ind w:left="0" w:firstLine="0"/>
      <w:jc w:val="center"/>
      <w:outlineLvl w:val="2"/>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610"/>
    <w:rPr>
      <w:b/>
    </w:rPr>
  </w:style>
  <w:style w:type="character" w:customStyle="1" w:styleId="Heading3Char">
    <w:name w:val="Heading 3 Char"/>
    <w:basedOn w:val="DefaultParagraphFont"/>
    <w:link w:val="Heading3"/>
    <w:uiPriority w:val="9"/>
    <w:rsid w:val="008C4610"/>
    <w:rPr>
      <w:b/>
      <w:u w:val="single"/>
    </w:rPr>
  </w:style>
  <w:style w:type="table" w:customStyle="1" w:styleId="TableGrid1">
    <w:name w:val="Table Grid1"/>
    <w:basedOn w:val="TableNormal"/>
    <w:next w:val="TableGrid"/>
    <w:uiPriority w:val="59"/>
    <w:rsid w:val="008C4610"/>
    <w:pPr>
      <w:ind w:left="0" w:firstLine="0"/>
    </w:pPr>
    <w:rPr>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8C4610"/>
    <w:pPr>
      <w:tabs>
        <w:tab w:val="center" w:pos="4680"/>
        <w:tab w:val="right" w:pos="9360"/>
      </w:tabs>
    </w:pPr>
  </w:style>
  <w:style w:type="character" w:customStyle="1" w:styleId="FooterChar">
    <w:name w:val="Footer Char"/>
    <w:basedOn w:val="DefaultParagraphFont"/>
    <w:link w:val="Footer"/>
    <w:uiPriority w:val="99"/>
    <w:rsid w:val="008C4610"/>
  </w:style>
  <w:style w:type="paragraph" w:styleId="BodyText">
    <w:name w:val="Body Text"/>
    <w:basedOn w:val="Normal"/>
    <w:link w:val="BodyTextChar"/>
    <w:uiPriority w:val="99"/>
    <w:unhideWhenUsed/>
    <w:rsid w:val="008C4610"/>
    <w:pPr>
      <w:ind w:left="0" w:firstLine="0"/>
    </w:pPr>
    <w:rPr>
      <w:b/>
    </w:rPr>
  </w:style>
  <w:style w:type="character" w:customStyle="1" w:styleId="BodyTextChar">
    <w:name w:val="Body Text Char"/>
    <w:basedOn w:val="DefaultParagraphFont"/>
    <w:link w:val="BodyText"/>
    <w:uiPriority w:val="99"/>
    <w:rsid w:val="008C4610"/>
    <w:rPr>
      <w:b/>
    </w:rPr>
  </w:style>
  <w:style w:type="paragraph" w:styleId="ListParagraph">
    <w:name w:val="List Paragraph"/>
    <w:basedOn w:val="Normal"/>
    <w:uiPriority w:val="34"/>
    <w:qFormat/>
    <w:rsid w:val="008C4610"/>
    <w:pPr>
      <w:ind w:left="720"/>
      <w:contextualSpacing/>
    </w:pPr>
  </w:style>
  <w:style w:type="table" w:styleId="TableGrid">
    <w:name w:val="Table Grid"/>
    <w:basedOn w:val="TableNormal"/>
    <w:uiPriority w:val="59"/>
    <w:rsid w:val="008C46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4819</Words>
  <Characters>24175</Characters>
  <Application>Microsoft Macintosh Word</Application>
  <DocSecurity>0</DocSecurity>
  <Lines>384</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2012-04-30T12:08:00Z</dcterms:created>
  <dcterms:modified xsi:type="dcterms:W3CDTF">2012-06-02T14:03:00Z</dcterms:modified>
  <cp:category/>
</cp:coreProperties>
</file>